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1E699" w14:textId="77777777" w:rsidR="00DA5579" w:rsidRPr="00B245E9" w:rsidRDefault="0058317E" w:rsidP="00DA5579">
      <w:pPr>
        <w:pBdr>
          <w:bottom w:val="single" w:sz="4" w:space="1" w:color="auto"/>
        </w:pBdr>
        <w:jc w:val="both"/>
        <w:rPr>
          <w:b/>
          <w:sz w:val="28"/>
          <w:szCs w:val="28"/>
        </w:rPr>
      </w:pPr>
      <w:r w:rsidRPr="00B245E9">
        <w:rPr>
          <w:b/>
          <w:sz w:val="28"/>
          <w:szCs w:val="28"/>
        </w:rPr>
        <w:t>Review of Treasury Management</w:t>
      </w:r>
      <w:r>
        <w:rPr>
          <w:b/>
          <w:sz w:val="28"/>
          <w:szCs w:val="28"/>
        </w:rPr>
        <w:t xml:space="preserve"> Activity 2019/20</w:t>
      </w:r>
    </w:p>
    <w:p w14:paraId="2D21E69A" w14:textId="77777777" w:rsidR="00DA5579" w:rsidRPr="00B245E9" w:rsidRDefault="003A3CFD" w:rsidP="00DA5579">
      <w:pPr>
        <w:jc w:val="both"/>
        <w:rPr>
          <w:szCs w:val="24"/>
        </w:rPr>
      </w:pPr>
    </w:p>
    <w:p w14:paraId="2D21E69B" w14:textId="77777777" w:rsidR="00DA5579" w:rsidRPr="00B245E9" w:rsidRDefault="0058317E" w:rsidP="00DA5579">
      <w:pPr>
        <w:jc w:val="both"/>
        <w:rPr>
          <w:b/>
          <w:szCs w:val="24"/>
        </w:rPr>
      </w:pPr>
      <w:r w:rsidRPr="00B245E9">
        <w:rPr>
          <w:b/>
          <w:szCs w:val="24"/>
        </w:rPr>
        <w:t>Introduction</w:t>
      </w:r>
    </w:p>
    <w:p w14:paraId="2D21E69C" w14:textId="77777777" w:rsidR="00DA5579" w:rsidRPr="00B245E9" w:rsidRDefault="003A3CFD" w:rsidP="00DA5579">
      <w:pPr>
        <w:jc w:val="both"/>
        <w:rPr>
          <w:szCs w:val="24"/>
        </w:rPr>
      </w:pPr>
    </w:p>
    <w:p w14:paraId="2D21E69D" w14:textId="77777777" w:rsidR="00DA5579" w:rsidRDefault="0058317E" w:rsidP="00DA5579">
      <w:pPr>
        <w:jc w:val="both"/>
        <w:rPr>
          <w:szCs w:val="24"/>
        </w:rPr>
      </w:pPr>
      <w:r w:rsidRPr="00B245E9">
        <w:rPr>
          <w:szCs w:val="24"/>
        </w:rPr>
        <w:t xml:space="preserve">The </w:t>
      </w:r>
      <w:r>
        <w:rPr>
          <w:szCs w:val="24"/>
        </w:rPr>
        <w:t>c</w:t>
      </w:r>
      <w:r w:rsidRPr="00B245E9">
        <w:rPr>
          <w:szCs w:val="24"/>
        </w:rPr>
        <w:t xml:space="preserve">ouncil’s </w:t>
      </w:r>
      <w:r>
        <w:rPr>
          <w:szCs w:val="24"/>
        </w:rPr>
        <w:t>t</w:t>
      </w:r>
      <w:r w:rsidRPr="00B245E9">
        <w:rPr>
          <w:szCs w:val="24"/>
        </w:rPr>
        <w:t xml:space="preserve">reasury </w:t>
      </w:r>
      <w:r>
        <w:rPr>
          <w:szCs w:val="24"/>
        </w:rPr>
        <w:t>m</w:t>
      </w:r>
      <w:r w:rsidRPr="00B245E9">
        <w:rPr>
          <w:szCs w:val="24"/>
        </w:rPr>
        <w:t xml:space="preserve">anagement activity is underpinned by </w:t>
      </w:r>
      <w:r>
        <w:rPr>
          <w:szCs w:val="24"/>
        </w:rPr>
        <w:t xml:space="preserve">the </w:t>
      </w:r>
      <w:r w:rsidRPr="00B245E9">
        <w:rPr>
          <w:szCs w:val="24"/>
        </w:rPr>
        <w:t>C</w:t>
      </w:r>
      <w:r>
        <w:rPr>
          <w:szCs w:val="24"/>
        </w:rPr>
        <w:t xml:space="preserve">hartered </w:t>
      </w:r>
      <w:r w:rsidRPr="00B245E9">
        <w:rPr>
          <w:szCs w:val="24"/>
        </w:rPr>
        <w:t>I</w:t>
      </w:r>
      <w:r>
        <w:rPr>
          <w:szCs w:val="24"/>
        </w:rPr>
        <w:t xml:space="preserve">nstitute of </w:t>
      </w:r>
      <w:r w:rsidRPr="00B245E9">
        <w:rPr>
          <w:szCs w:val="24"/>
        </w:rPr>
        <w:t>P</w:t>
      </w:r>
      <w:r>
        <w:rPr>
          <w:szCs w:val="24"/>
        </w:rPr>
        <w:t xml:space="preserve">ublic </w:t>
      </w:r>
      <w:r w:rsidRPr="00B245E9">
        <w:rPr>
          <w:szCs w:val="24"/>
        </w:rPr>
        <w:t>F</w:t>
      </w:r>
      <w:r>
        <w:rPr>
          <w:szCs w:val="24"/>
        </w:rPr>
        <w:t xml:space="preserve">inance and </w:t>
      </w:r>
      <w:r w:rsidRPr="00B245E9">
        <w:rPr>
          <w:szCs w:val="24"/>
        </w:rPr>
        <w:t>A</w:t>
      </w:r>
      <w:r>
        <w:rPr>
          <w:szCs w:val="24"/>
        </w:rPr>
        <w:t>ccountancy</w:t>
      </w:r>
      <w:r w:rsidRPr="00B245E9">
        <w:rPr>
          <w:szCs w:val="24"/>
        </w:rPr>
        <w:t xml:space="preserve">’s Code of Practice on Treasury Management (“the Code”), which requires authorities to produce Prudential Indicators and a Treasury Management Strategy Statement on the financing and investment activity annually. The Code also recommends that members </w:t>
      </w:r>
      <w:r w:rsidRPr="007357E3">
        <w:rPr>
          <w:szCs w:val="24"/>
        </w:rPr>
        <w:t>a</w:t>
      </w:r>
      <w:r>
        <w:rPr>
          <w:szCs w:val="24"/>
        </w:rPr>
        <w:t>gree</w:t>
      </w:r>
      <w:r w:rsidRPr="007357E3">
        <w:rPr>
          <w:szCs w:val="24"/>
        </w:rPr>
        <w:t xml:space="preserve"> a treasury management report after the end of each financial year.</w:t>
      </w:r>
    </w:p>
    <w:p w14:paraId="2D21E69E" w14:textId="77777777" w:rsidR="00DA5579" w:rsidRDefault="003A3CFD" w:rsidP="00DA5579">
      <w:pPr>
        <w:jc w:val="both"/>
        <w:rPr>
          <w:szCs w:val="24"/>
        </w:rPr>
      </w:pPr>
    </w:p>
    <w:p w14:paraId="2D21E69F" w14:textId="77777777" w:rsidR="00DA5579" w:rsidRDefault="0058317E" w:rsidP="00DA5579">
      <w:pPr>
        <w:jc w:val="both"/>
        <w:rPr>
          <w:szCs w:val="24"/>
        </w:rPr>
      </w:pPr>
      <w:r w:rsidRPr="003475AA">
        <w:rPr>
          <w:szCs w:val="24"/>
        </w:rPr>
        <w:t>Investment and borrowing decisions are taken in light of long term borrowing requirements, the estimated level of reserves and actual and estimated cash-flow</w:t>
      </w:r>
      <w:r>
        <w:rPr>
          <w:szCs w:val="24"/>
        </w:rPr>
        <w:t>. This is in the context of the current and forecast economic conditions</w:t>
      </w:r>
      <w:r w:rsidRPr="003475AA">
        <w:rPr>
          <w:szCs w:val="24"/>
        </w:rPr>
        <w:t xml:space="preserve">. Consideration is also given to risks and compliance with Prudential Indicators.  Therefore this report provides </w:t>
      </w:r>
      <w:r>
        <w:rPr>
          <w:szCs w:val="24"/>
        </w:rPr>
        <w:t>commentary on the following factors for 2019/20</w:t>
      </w:r>
      <w:r w:rsidRPr="003475AA">
        <w:rPr>
          <w:szCs w:val="24"/>
        </w:rPr>
        <w:t>:</w:t>
      </w:r>
    </w:p>
    <w:p w14:paraId="2D21E6A0" w14:textId="77777777" w:rsidR="00DA5579" w:rsidRPr="003475AA" w:rsidRDefault="003A3CFD" w:rsidP="00DA5579">
      <w:pPr>
        <w:jc w:val="both"/>
        <w:rPr>
          <w:szCs w:val="24"/>
        </w:rPr>
      </w:pPr>
    </w:p>
    <w:p w14:paraId="2D21E6A1" w14:textId="77777777" w:rsidR="00DA5579" w:rsidRPr="00C96E1C" w:rsidRDefault="0058317E" w:rsidP="00DA5579">
      <w:pPr>
        <w:pStyle w:val="ListParagraph"/>
        <w:numPr>
          <w:ilvl w:val="0"/>
          <w:numId w:val="29"/>
        </w:numPr>
        <w:jc w:val="both"/>
        <w:rPr>
          <w:szCs w:val="24"/>
        </w:rPr>
      </w:pPr>
      <w:r w:rsidRPr="00C96E1C">
        <w:rPr>
          <w:szCs w:val="24"/>
        </w:rPr>
        <w:t>Economic environment</w:t>
      </w:r>
    </w:p>
    <w:p w14:paraId="2D21E6A2" w14:textId="77777777" w:rsidR="00DA5579" w:rsidRPr="00C96E1C" w:rsidRDefault="0058317E" w:rsidP="00DA5579">
      <w:pPr>
        <w:pStyle w:val="ListParagraph"/>
        <w:numPr>
          <w:ilvl w:val="0"/>
          <w:numId w:val="29"/>
        </w:numPr>
        <w:jc w:val="both"/>
        <w:rPr>
          <w:szCs w:val="24"/>
        </w:rPr>
      </w:pPr>
      <w:r w:rsidRPr="00C96E1C">
        <w:rPr>
          <w:szCs w:val="24"/>
        </w:rPr>
        <w:t>Borrowing activity</w:t>
      </w:r>
    </w:p>
    <w:p w14:paraId="2D21E6A3" w14:textId="77777777" w:rsidR="00DA5579" w:rsidRPr="00C96E1C" w:rsidRDefault="0058317E" w:rsidP="00DA5579">
      <w:pPr>
        <w:pStyle w:val="ListParagraph"/>
        <w:numPr>
          <w:ilvl w:val="0"/>
          <w:numId w:val="29"/>
        </w:numPr>
        <w:jc w:val="both"/>
        <w:rPr>
          <w:szCs w:val="24"/>
        </w:rPr>
      </w:pPr>
      <w:r w:rsidRPr="00C96E1C">
        <w:rPr>
          <w:szCs w:val="24"/>
        </w:rPr>
        <w:t>Investment activity</w:t>
      </w:r>
    </w:p>
    <w:p w14:paraId="2D21E6A4" w14:textId="77777777" w:rsidR="00DA5579" w:rsidRPr="00C96E1C" w:rsidRDefault="0058317E" w:rsidP="00DA5579">
      <w:pPr>
        <w:pStyle w:val="ListParagraph"/>
        <w:numPr>
          <w:ilvl w:val="0"/>
          <w:numId w:val="29"/>
        </w:numPr>
        <w:jc w:val="both"/>
        <w:rPr>
          <w:szCs w:val="24"/>
        </w:rPr>
      </w:pPr>
      <w:r>
        <w:rPr>
          <w:szCs w:val="24"/>
        </w:rPr>
        <w:t xml:space="preserve">Performance against the </w:t>
      </w:r>
      <w:r w:rsidRPr="00C96E1C">
        <w:rPr>
          <w:szCs w:val="24"/>
        </w:rPr>
        <w:t>Prudential Indicators</w:t>
      </w:r>
    </w:p>
    <w:p w14:paraId="2D21E6A5" w14:textId="77777777" w:rsidR="00DA5579" w:rsidRPr="000F6DF0" w:rsidRDefault="003A3CFD" w:rsidP="00DA5579">
      <w:pPr>
        <w:jc w:val="both"/>
        <w:rPr>
          <w:szCs w:val="24"/>
          <w:highlight w:val="yellow"/>
        </w:rPr>
      </w:pPr>
    </w:p>
    <w:p w14:paraId="2D21E6A6" w14:textId="57BAAE19" w:rsidR="00DA5579" w:rsidRPr="00CB47FA" w:rsidRDefault="0058317E" w:rsidP="00DA5579">
      <w:pPr>
        <w:jc w:val="both"/>
        <w:rPr>
          <w:b/>
          <w:szCs w:val="24"/>
        </w:rPr>
      </w:pPr>
      <w:r w:rsidRPr="00CB47FA">
        <w:rPr>
          <w:b/>
          <w:szCs w:val="24"/>
        </w:rPr>
        <w:t xml:space="preserve">Economic </w:t>
      </w:r>
      <w:r w:rsidR="00F517B5">
        <w:rPr>
          <w:b/>
          <w:szCs w:val="24"/>
        </w:rPr>
        <w:t>E</w:t>
      </w:r>
      <w:r>
        <w:rPr>
          <w:b/>
          <w:szCs w:val="24"/>
        </w:rPr>
        <w:t>nvironment</w:t>
      </w:r>
      <w:r w:rsidRPr="00CB47FA">
        <w:rPr>
          <w:b/>
          <w:szCs w:val="24"/>
        </w:rPr>
        <w:t xml:space="preserve"> </w:t>
      </w:r>
      <w:proofErr w:type="gramStart"/>
      <w:r w:rsidR="00F517B5">
        <w:rPr>
          <w:b/>
          <w:szCs w:val="24"/>
        </w:rPr>
        <w:t>D</w:t>
      </w:r>
      <w:r>
        <w:rPr>
          <w:b/>
          <w:szCs w:val="24"/>
        </w:rPr>
        <w:t>uring</w:t>
      </w:r>
      <w:proofErr w:type="gramEnd"/>
      <w:r>
        <w:rPr>
          <w:b/>
          <w:szCs w:val="24"/>
        </w:rPr>
        <w:t xml:space="preserve"> 2019/20</w:t>
      </w:r>
    </w:p>
    <w:p w14:paraId="2D21E6A7" w14:textId="77777777" w:rsidR="00DA5579" w:rsidRPr="00B06B0C" w:rsidRDefault="003A3CFD" w:rsidP="00DA5579">
      <w:pPr>
        <w:jc w:val="both"/>
        <w:rPr>
          <w:b/>
          <w:szCs w:val="24"/>
          <w:highlight w:val="yellow"/>
        </w:rPr>
      </w:pPr>
    </w:p>
    <w:p w14:paraId="2D21E6A8" w14:textId="77777777" w:rsidR="00DA5579" w:rsidRDefault="0058317E" w:rsidP="00DA5579">
      <w:pPr>
        <w:jc w:val="both"/>
        <w:rPr>
          <w:szCs w:val="24"/>
        </w:rPr>
      </w:pPr>
      <w:r w:rsidRPr="009F6971">
        <w:rPr>
          <w:szCs w:val="24"/>
        </w:rPr>
        <w:t xml:space="preserve">The UK’s exit from the European Union and future trading arrangements, had remained one of major influences on the UK economy and sentiment during 2019/20. The 29 March 2019 </w:t>
      </w:r>
      <w:proofErr w:type="spellStart"/>
      <w:r w:rsidRPr="009F6971">
        <w:rPr>
          <w:szCs w:val="24"/>
        </w:rPr>
        <w:t>Brexit</w:t>
      </w:r>
      <w:proofErr w:type="spellEnd"/>
      <w:r w:rsidRPr="009F6971">
        <w:rPr>
          <w:szCs w:val="24"/>
        </w:rPr>
        <w:t xml:space="preserve"> deadline was extended to 12 April, then to 31 October and finally to 31 January 2020. The UK’s negotiations on the exit from the European Union together with its future trading arrangements drove volatility</w:t>
      </w:r>
      <w:r>
        <w:rPr>
          <w:szCs w:val="24"/>
        </w:rPr>
        <w:t xml:space="preserve"> in the financial markets.</w:t>
      </w:r>
      <w:r w:rsidRPr="009F6971">
        <w:rPr>
          <w:szCs w:val="24"/>
        </w:rPr>
        <w:t xml:space="preserve"> The outcome of December’s General Election removed a lot of the uncertainty and looked set to provide a ‘bounce’ to confidence and activity.</w:t>
      </w:r>
    </w:p>
    <w:p w14:paraId="2D21E6A9" w14:textId="77777777" w:rsidR="00DA5579" w:rsidRPr="009F6971" w:rsidRDefault="003A3CFD" w:rsidP="00DA5579">
      <w:pPr>
        <w:jc w:val="both"/>
        <w:rPr>
          <w:szCs w:val="24"/>
        </w:rPr>
      </w:pPr>
    </w:p>
    <w:p w14:paraId="2D21E6AA" w14:textId="1FDDE29D" w:rsidR="00DA5579" w:rsidRPr="009F6971" w:rsidRDefault="0058317E" w:rsidP="00DA5579">
      <w:pPr>
        <w:jc w:val="both"/>
        <w:rPr>
          <w:szCs w:val="24"/>
        </w:rPr>
      </w:pPr>
      <w:r w:rsidRPr="009F6971">
        <w:rPr>
          <w:szCs w:val="24"/>
        </w:rPr>
        <w:t xml:space="preserve">The headline rate of UK Consumer Price Inflation fell to 1.7% in February, below the Bank of England’s target of 2%. Labour market data remained positive. The unemployment rate was 3.9% in the three months to January 2020 while the employment rate hit a record high of 76.5%. </w:t>
      </w:r>
    </w:p>
    <w:p w14:paraId="2D21E6AB" w14:textId="77777777" w:rsidR="00DA5579" w:rsidRPr="009F6971" w:rsidRDefault="003A3CFD" w:rsidP="00DA5579">
      <w:pPr>
        <w:jc w:val="both"/>
        <w:rPr>
          <w:szCs w:val="24"/>
        </w:rPr>
      </w:pPr>
    </w:p>
    <w:p w14:paraId="2D21E6AC" w14:textId="478C00B7" w:rsidR="00DA5579" w:rsidRDefault="0058317E" w:rsidP="00DA5579">
      <w:pPr>
        <w:jc w:val="both"/>
        <w:rPr>
          <w:szCs w:val="24"/>
        </w:rPr>
      </w:pPr>
      <w:r w:rsidRPr="009F6971">
        <w:rPr>
          <w:szCs w:val="24"/>
        </w:rPr>
        <w:t>G</w:t>
      </w:r>
      <w:r>
        <w:rPr>
          <w:szCs w:val="24"/>
        </w:rPr>
        <w:t xml:space="preserve">ross </w:t>
      </w:r>
      <w:r w:rsidRPr="009F6971">
        <w:rPr>
          <w:szCs w:val="24"/>
        </w:rPr>
        <w:t>D</w:t>
      </w:r>
      <w:r>
        <w:rPr>
          <w:szCs w:val="24"/>
        </w:rPr>
        <w:t xml:space="preserve">omestic </w:t>
      </w:r>
      <w:r w:rsidRPr="009F6971">
        <w:rPr>
          <w:szCs w:val="24"/>
        </w:rPr>
        <w:t>P</w:t>
      </w:r>
      <w:r>
        <w:rPr>
          <w:szCs w:val="24"/>
        </w:rPr>
        <w:t>roduct (GDP)</w:t>
      </w:r>
      <w:r w:rsidRPr="009F6971">
        <w:rPr>
          <w:szCs w:val="24"/>
        </w:rPr>
        <w:t xml:space="preserve"> growth in </w:t>
      </w:r>
      <w:r w:rsidR="003A3CFD">
        <w:rPr>
          <w:szCs w:val="24"/>
        </w:rPr>
        <w:t xml:space="preserve">quarter </w:t>
      </w:r>
      <w:r w:rsidRPr="009F6971">
        <w:rPr>
          <w:szCs w:val="24"/>
        </w:rPr>
        <w:t>4</w:t>
      </w:r>
      <w:r w:rsidR="003A3CFD">
        <w:rPr>
          <w:szCs w:val="24"/>
        </w:rPr>
        <w:t xml:space="preserve">, </w:t>
      </w:r>
      <w:r w:rsidRPr="009F6971">
        <w:rPr>
          <w:szCs w:val="24"/>
        </w:rPr>
        <w:t>2019</w:t>
      </w:r>
      <w:r w:rsidR="003A3CFD">
        <w:rPr>
          <w:szCs w:val="24"/>
        </w:rPr>
        <w:t>,</w:t>
      </w:r>
      <w:r w:rsidRPr="009F6971">
        <w:rPr>
          <w:szCs w:val="24"/>
        </w:rPr>
        <w:t xml:space="preserve"> was reported as flat by the Office for National Statistics and service sector growth slowed and production and construction activity contracted on the back of what</w:t>
      </w:r>
      <w:r w:rsidR="00A952CA">
        <w:rPr>
          <w:szCs w:val="24"/>
        </w:rPr>
        <w:t>,</w:t>
      </w:r>
      <w:r w:rsidRPr="009F6971">
        <w:rPr>
          <w:szCs w:val="24"/>
        </w:rPr>
        <w:t xml:space="preserve"> at the time</w:t>
      </w:r>
      <w:r w:rsidR="00A952CA">
        <w:rPr>
          <w:szCs w:val="24"/>
        </w:rPr>
        <w:t>,</w:t>
      </w:r>
      <w:r w:rsidRPr="009F6971">
        <w:rPr>
          <w:szCs w:val="24"/>
        </w:rPr>
        <w:t xml:space="preserve"> were concerns over the impact of global trade tensions on economic activity. The annual rate of </w:t>
      </w:r>
      <w:r w:rsidR="001E589B" w:rsidRPr="001E589B">
        <w:rPr>
          <w:szCs w:val="24"/>
        </w:rPr>
        <w:t>Gross Domestic Product</w:t>
      </w:r>
      <w:r w:rsidRPr="009F6971">
        <w:rPr>
          <w:szCs w:val="24"/>
        </w:rPr>
        <w:t xml:space="preserve"> growth remained below-trend at 1.1%.</w:t>
      </w:r>
    </w:p>
    <w:p w14:paraId="2D21E6AD" w14:textId="77777777" w:rsidR="00DA5579" w:rsidRPr="009F6971" w:rsidRDefault="003A3CFD" w:rsidP="00DA5579">
      <w:pPr>
        <w:jc w:val="both"/>
        <w:rPr>
          <w:szCs w:val="24"/>
        </w:rPr>
      </w:pPr>
    </w:p>
    <w:p w14:paraId="2D21E6AE" w14:textId="5729921C" w:rsidR="00DA5579" w:rsidRDefault="0058317E" w:rsidP="00DA5579">
      <w:pPr>
        <w:jc w:val="both"/>
        <w:rPr>
          <w:szCs w:val="24"/>
        </w:rPr>
      </w:pPr>
      <w:r w:rsidRPr="009F6971">
        <w:rPr>
          <w:szCs w:val="24"/>
        </w:rPr>
        <w:t>However, COVID-19 spread across the globe in early 2020 causing falls in financial markets not seen since the Global Financial Crisis</w:t>
      </w:r>
      <w:r>
        <w:rPr>
          <w:szCs w:val="24"/>
        </w:rPr>
        <w:t xml:space="preserve">. </w:t>
      </w:r>
      <w:r w:rsidRPr="009F6971">
        <w:rPr>
          <w:szCs w:val="24"/>
        </w:rPr>
        <w:t>In response to the spread of the virus and sharp increase in those infected, government</w:t>
      </w:r>
      <w:r>
        <w:rPr>
          <w:szCs w:val="24"/>
        </w:rPr>
        <w:t>s</w:t>
      </w:r>
      <w:r w:rsidRPr="009F6971">
        <w:rPr>
          <w:szCs w:val="24"/>
        </w:rPr>
        <w:t xml:space="preserve"> enforced lockdowns, central banks and governments around the world cut interest rates and introduced massive stimulus packages in an attempt to reduce some of the negative economic impact to domestic and global growth.</w:t>
      </w:r>
    </w:p>
    <w:p w14:paraId="2D21E6AF" w14:textId="77777777" w:rsidR="00DA5579" w:rsidRPr="009F6971" w:rsidRDefault="003A3CFD" w:rsidP="00DA5579">
      <w:pPr>
        <w:jc w:val="both"/>
        <w:rPr>
          <w:szCs w:val="24"/>
        </w:rPr>
      </w:pPr>
    </w:p>
    <w:p w14:paraId="2D21E6B0" w14:textId="77777777" w:rsidR="00DA5579" w:rsidRDefault="0058317E" w:rsidP="00DA5579">
      <w:pPr>
        <w:jc w:val="both"/>
        <w:rPr>
          <w:szCs w:val="24"/>
        </w:rPr>
      </w:pPr>
      <w:r w:rsidRPr="009F6971">
        <w:rPr>
          <w:szCs w:val="24"/>
        </w:rPr>
        <w:lastRenderedPageBreak/>
        <w:t>The Bank of England, which had held policy rates steady at 0.75% through most of 2019/20, moved in March to cut rates to 0.25% and then swiftly thereafter brought them down further to the record low of 0.1%. In conjunction with these cuts, the UK government introduced a number of measures to help businesses and households impacted by a series of ever-tightening social restrictions.</w:t>
      </w:r>
    </w:p>
    <w:p w14:paraId="2D21E6B1" w14:textId="77777777" w:rsidR="00DA5579" w:rsidRPr="009F6971" w:rsidRDefault="003A3CFD" w:rsidP="00DA5579">
      <w:pPr>
        <w:jc w:val="both"/>
        <w:rPr>
          <w:szCs w:val="24"/>
        </w:rPr>
      </w:pPr>
    </w:p>
    <w:p w14:paraId="2D21E6B2" w14:textId="794BC456" w:rsidR="00DA5579" w:rsidRPr="009F6971" w:rsidRDefault="0058317E" w:rsidP="00DA5579">
      <w:pPr>
        <w:jc w:val="both"/>
        <w:rPr>
          <w:szCs w:val="24"/>
        </w:rPr>
      </w:pPr>
      <w:r w:rsidRPr="009F6971">
        <w:rPr>
          <w:szCs w:val="24"/>
        </w:rPr>
        <w:t xml:space="preserve">The US economy grew at an annualised rate of 2.1% in </w:t>
      </w:r>
      <w:r w:rsidR="003A3CFD">
        <w:rPr>
          <w:szCs w:val="24"/>
        </w:rPr>
        <w:t xml:space="preserve">quarter </w:t>
      </w:r>
      <w:r w:rsidRPr="009F6971">
        <w:rPr>
          <w:szCs w:val="24"/>
        </w:rPr>
        <w:t>4</w:t>
      </w:r>
      <w:r w:rsidR="003A3CFD">
        <w:rPr>
          <w:szCs w:val="24"/>
        </w:rPr>
        <w:t>,</w:t>
      </w:r>
      <w:r w:rsidRPr="009F6971">
        <w:rPr>
          <w:szCs w:val="24"/>
        </w:rPr>
        <w:t xml:space="preserve"> 2019. After escalating trade wars and a protracted standoff, the signing of Phase 1 of the trade agreement between the US and China in January was initially positive for both economies, but COVID-19 severely impacted sentiment and production in both countries. Against a slowing economic outlook, the US Federal Reserve began cutting rates in August. Following a series of five cuts, the largest of which were in March 2020, the Fed Funds rate fell from 2.5% to </w:t>
      </w:r>
      <w:r w:rsidR="00A952CA">
        <w:rPr>
          <w:szCs w:val="24"/>
        </w:rPr>
        <w:t xml:space="preserve">a </w:t>
      </w:r>
      <w:r w:rsidRPr="009F6971">
        <w:rPr>
          <w:szCs w:val="24"/>
        </w:rPr>
        <w:t xml:space="preserve">range </w:t>
      </w:r>
      <w:r w:rsidR="00A952CA">
        <w:rPr>
          <w:szCs w:val="24"/>
        </w:rPr>
        <w:t xml:space="preserve">between </w:t>
      </w:r>
      <w:r w:rsidRPr="009F6971">
        <w:rPr>
          <w:szCs w:val="24"/>
        </w:rPr>
        <w:t xml:space="preserve">0% - 0.25%. The US government also unleashed a raft of COVID-19 related measures and support for its economy including a $2 trillion fiscal stimulus package. </w:t>
      </w:r>
      <w:r>
        <w:rPr>
          <w:szCs w:val="24"/>
        </w:rPr>
        <w:t>T</w:t>
      </w:r>
      <w:r w:rsidRPr="009F6971">
        <w:rPr>
          <w:szCs w:val="24"/>
        </w:rPr>
        <w:t>he European Central Bank held its base rate at 0% and deposit rate at -0.5%.</w:t>
      </w:r>
    </w:p>
    <w:p w14:paraId="2D21E6B3" w14:textId="77777777" w:rsidR="00DA5579" w:rsidRPr="009F6971" w:rsidRDefault="003A3CFD" w:rsidP="00DA5579">
      <w:pPr>
        <w:jc w:val="both"/>
        <w:rPr>
          <w:szCs w:val="24"/>
        </w:rPr>
      </w:pPr>
    </w:p>
    <w:p w14:paraId="2D21E6B4" w14:textId="46D35C43" w:rsidR="00DA5579" w:rsidRDefault="0058317E" w:rsidP="00DA5579">
      <w:pPr>
        <w:jc w:val="both"/>
        <w:rPr>
          <w:szCs w:val="24"/>
        </w:rPr>
      </w:pPr>
      <w:r>
        <w:rPr>
          <w:szCs w:val="24"/>
        </w:rPr>
        <w:t>T</w:t>
      </w:r>
      <w:r w:rsidRPr="009F6971">
        <w:rPr>
          <w:szCs w:val="24"/>
        </w:rPr>
        <w:t>here has been</w:t>
      </w:r>
      <w:r>
        <w:rPr>
          <w:szCs w:val="24"/>
        </w:rPr>
        <w:t xml:space="preserve"> a</w:t>
      </w:r>
      <w:r w:rsidRPr="009F6971">
        <w:rPr>
          <w:szCs w:val="24"/>
        </w:rPr>
        <w:t xml:space="preserve"> flight to quality</w:t>
      </w:r>
      <w:r>
        <w:rPr>
          <w:szCs w:val="24"/>
        </w:rPr>
        <w:t xml:space="preserve"> </w:t>
      </w:r>
      <w:r w:rsidRPr="009F6971">
        <w:rPr>
          <w:szCs w:val="24"/>
        </w:rPr>
        <w:t xml:space="preserve">in financial markets </w:t>
      </w:r>
      <w:r>
        <w:rPr>
          <w:szCs w:val="24"/>
        </w:rPr>
        <w:t>in response to the pandemic,</w:t>
      </w:r>
      <w:r w:rsidRPr="009F6971">
        <w:rPr>
          <w:szCs w:val="24"/>
        </w:rPr>
        <w:t xml:space="preserve"> resulting in </w:t>
      </w:r>
      <w:r>
        <w:rPr>
          <w:szCs w:val="24"/>
        </w:rPr>
        <w:t>G</w:t>
      </w:r>
      <w:r w:rsidRPr="009F6971">
        <w:rPr>
          <w:szCs w:val="24"/>
        </w:rPr>
        <w:t>ilts yields fall</w:t>
      </w:r>
      <w:r>
        <w:rPr>
          <w:szCs w:val="24"/>
        </w:rPr>
        <w:t>ing</w:t>
      </w:r>
      <w:r w:rsidRPr="009F6971">
        <w:rPr>
          <w:szCs w:val="24"/>
        </w:rPr>
        <w:t xml:space="preserve"> substantially</w:t>
      </w:r>
      <w:r w:rsidR="00A952CA">
        <w:rPr>
          <w:szCs w:val="24"/>
        </w:rPr>
        <w:t>. F</w:t>
      </w:r>
      <w:r w:rsidRPr="009F6971">
        <w:rPr>
          <w:szCs w:val="24"/>
        </w:rPr>
        <w:t>or example the 10-year benchmark yield fell from 1% to 0.4%</w:t>
      </w:r>
      <w:r>
        <w:rPr>
          <w:szCs w:val="24"/>
        </w:rPr>
        <w:t>.</w:t>
      </w:r>
    </w:p>
    <w:p w14:paraId="2D21E6B5" w14:textId="77777777" w:rsidR="00DA5579" w:rsidRPr="00E8130F" w:rsidRDefault="003A3CFD" w:rsidP="00DA5579">
      <w:pPr>
        <w:jc w:val="both"/>
        <w:rPr>
          <w:szCs w:val="24"/>
          <w:highlight w:val="yellow"/>
        </w:rPr>
      </w:pPr>
    </w:p>
    <w:p w14:paraId="2D21E6B6" w14:textId="77777777" w:rsidR="00DA5579" w:rsidRPr="00C96E1C" w:rsidRDefault="0058317E" w:rsidP="00DA5579">
      <w:pPr>
        <w:jc w:val="both"/>
        <w:rPr>
          <w:b/>
        </w:rPr>
      </w:pPr>
      <w:r>
        <w:rPr>
          <w:b/>
        </w:rPr>
        <w:t>Treasury Management Portfolio</w:t>
      </w:r>
      <w:r w:rsidRPr="00C96E1C">
        <w:rPr>
          <w:b/>
        </w:rPr>
        <w:t xml:space="preserve"> 201</w:t>
      </w:r>
      <w:r>
        <w:rPr>
          <w:b/>
        </w:rPr>
        <w:t>9</w:t>
      </w:r>
      <w:r w:rsidRPr="00C96E1C">
        <w:rPr>
          <w:b/>
        </w:rPr>
        <w:t>/</w:t>
      </w:r>
      <w:r>
        <w:rPr>
          <w:b/>
        </w:rPr>
        <w:t>20</w:t>
      </w:r>
    </w:p>
    <w:p w14:paraId="2D21E6B7" w14:textId="77777777" w:rsidR="00DA5579" w:rsidRPr="00334A16" w:rsidRDefault="003A3CFD" w:rsidP="00DA5579">
      <w:pPr>
        <w:jc w:val="both"/>
        <w:rPr>
          <w:b/>
        </w:rPr>
      </w:pPr>
    </w:p>
    <w:p w14:paraId="2D21E6B8" w14:textId="77777777" w:rsidR="00DA5579" w:rsidRPr="00334A16" w:rsidRDefault="0058317E" w:rsidP="00DA5579">
      <w:pPr>
        <w:jc w:val="both"/>
      </w:pPr>
      <w:r w:rsidRPr="00334A16">
        <w:t>In summary</w:t>
      </w:r>
      <w:r>
        <w:t>,</w:t>
      </w:r>
      <w:r w:rsidRPr="00334A16">
        <w:t xml:space="preserve"> the holdings at the beginning and end of the year</w:t>
      </w:r>
      <w:r>
        <w:t xml:space="preserve"> were as follows:</w:t>
      </w:r>
    </w:p>
    <w:p w14:paraId="2D21E6B9" w14:textId="77777777" w:rsidR="00DA5579" w:rsidRPr="00E8130F" w:rsidRDefault="003A3CFD" w:rsidP="00DA5579">
      <w:pPr>
        <w:jc w:val="both"/>
        <w:rPr>
          <w:highlight w:val="yellow"/>
        </w:rPr>
      </w:pPr>
    </w:p>
    <w:tbl>
      <w:tblPr>
        <w:tblStyle w:val="TableGrid"/>
        <w:tblW w:w="6625" w:type="dxa"/>
        <w:tblLook w:val="04A0" w:firstRow="1" w:lastRow="0" w:firstColumn="1" w:lastColumn="0" w:noHBand="0" w:noVBand="1"/>
      </w:tblPr>
      <w:tblGrid>
        <w:gridCol w:w="3005"/>
        <w:gridCol w:w="1810"/>
        <w:gridCol w:w="1810"/>
      </w:tblGrid>
      <w:tr w:rsidR="006619F2" w14:paraId="2D21E6BD" w14:textId="77777777" w:rsidTr="00DA5579">
        <w:trPr>
          <w:trHeight w:val="426"/>
        </w:trPr>
        <w:tc>
          <w:tcPr>
            <w:tcW w:w="3005" w:type="dxa"/>
          </w:tcPr>
          <w:p w14:paraId="2D21E6BA" w14:textId="77777777" w:rsidR="00DA5579" w:rsidRPr="00334A16" w:rsidRDefault="003A3CFD" w:rsidP="00DA5579">
            <w:pPr>
              <w:jc w:val="both"/>
            </w:pPr>
          </w:p>
        </w:tc>
        <w:tc>
          <w:tcPr>
            <w:tcW w:w="1810" w:type="dxa"/>
          </w:tcPr>
          <w:p w14:paraId="2D21E6BB" w14:textId="77777777" w:rsidR="00DA5579" w:rsidRPr="00E21C48" w:rsidRDefault="0058317E" w:rsidP="00DA5579">
            <w:pPr>
              <w:jc w:val="right"/>
              <w:rPr>
                <w:b/>
              </w:rPr>
            </w:pPr>
            <w:r w:rsidRPr="00E21C48">
              <w:rPr>
                <w:b/>
              </w:rPr>
              <w:t>31/3/20</w:t>
            </w:r>
            <w:r>
              <w:rPr>
                <w:b/>
              </w:rPr>
              <w:t>20</w:t>
            </w:r>
          </w:p>
        </w:tc>
        <w:tc>
          <w:tcPr>
            <w:tcW w:w="1810" w:type="dxa"/>
            <w:shd w:val="clear" w:color="auto" w:fill="auto"/>
          </w:tcPr>
          <w:p w14:paraId="2D21E6BC" w14:textId="77777777" w:rsidR="00DA5579" w:rsidRPr="00E21C48" w:rsidRDefault="0058317E" w:rsidP="00DA5579">
            <w:pPr>
              <w:jc w:val="right"/>
              <w:rPr>
                <w:b/>
              </w:rPr>
            </w:pPr>
            <w:r w:rsidRPr="00E21C48">
              <w:rPr>
                <w:b/>
              </w:rPr>
              <w:t>31/3/2019</w:t>
            </w:r>
          </w:p>
        </w:tc>
      </w:tr>
      <w:tr w:rsidR="006619F2" w14:paraId="2D21E6C1" w14:textId="77777777" w:rsidTr="00DA5579">
        <w:tc>
          <w:tcPr>
            <w:tcW w:w="3005" w:type="dxa"/>
          </w:tcPr>
          <w:p w14:paraId="2D21E6BE" w14:textId="77777777" w:rsidR="00DA5579" w:rsidRPr="00334A16" w:rsidRDefault="003A3CFD" w:rsidP="00DA5579">
            <w:pPr>
              <w:jc w:val="both"/>
            </w:pPr>
          </w:p>
        </w:tc>
        <w:tc>
          <w:tcPr>
            <w:tcW w:w="1810" w:type="dxa"/>
          </w:tcPr>
          <w:p w14:paraId="2D21E6BF" w14:textId="77777777" w:rsidR="00DA5579" w:rsidRPr="00334A16" w:rsidRDefault="0058317E" w:rsidP="00DA5579">
            <w:pPr>
              <w:jc w:val="right"/>
            </w:pPr>
            <w:r w:rsidRPr="003A46B4">
              <w:t>£m</w:t>
            </w:r>
          </w:p>
        </w:tc>
        <w:tc>
          <w:tcPr>
            <w:tcW w:w="1810" w:type="dxa"/>
            <w:shd w:val="clear" w:color="auto" w:fill="auto"/>
          </w:tcPr>
          <w:p w14:paraId="2D21E6C0" w14:textId="77777777" w:rsidR="00DA5579" w:rsidRPr="00334A16" w:rsidRDefault="0058317E" w:rsidP="00DA5579">
            <w:pPr>
              <w:jc w:val="right"/>
            </w:pPr>
            <w:r w:rsidRPr="00334A16">
              <w:t>£m</w:t>
            </w:r>
          </w:p>
        </w:tc>
      </w:tr>
      <w:tr w:rsidR="006619F2" w14:paraId="2D21E6C5" w14:textId="77777777" w:rsidTr="00DA5579">
        <w:tc>
          <w:tcPr>
            <w:tcW w:w="3005" w:type="dxa"/>
          </w:tcPr>
          <w:p w14:paraId="2D21E6C2" w14:textId="77777777" w:rsidR="00DA5579" w:rsidRPr="00334A16" w:rsidRDefault="0058317E" w:rsidP="00DA5579">
            <w:pPr>
              <w:jc w:val="both"/>
            </w:pPr>
            <w:r w:rsidRPr="00334A16">
              <w:t>Long term borrowing</w:t>
            </w:r>
          </w:p>
        </w:tc>
        <w:tc>
          <w:tcPr>
            <w:tcW w:w="1810" w:type="dxa"/>
          </w:tcPr>
          <w:p w14:paraId="2D21E6C3" w14:textId="77777777" w:rsidR="00DA5579" w:rsidRPr="00334A16" w:rsidRDefault="0058317E" w:rsidP="00DA5579">
            <w:pPr>
              <w:jc w:val="right"/>
              <w:rPr>
                <w:rFonts w:cs="Arial"/>
                <w:color w:val="000000"/>
              </w:rPr>
            </w:pPr>
            <w:r>
              <w:rPr>
                <w:rFonts w:cs="Arial"/>
                <w:color w:val="000000"/>
              </w:rPr>
              <w:t>844.6</w:t>
            </w:r>
          </w:p>
        </w:tc>
        <w:tc>
          <w:tcPr>
            <w:tcW w:w="1810" w:type="dxa"/>
            <w:shd w:val="clear" w:color="auto" w:fill="auto"/>
          </w:tcPr>
          <w:p w14:paraId="2D21E6C4" w14:textId="77777777" w:rsidR="00DA5579" w:rsidRPr="00334A16" w:rsidRDefault="0058317E" w:rsidP="00DA5579">
            <w:pPr>
              <w:jc w:val="right"/>
              <w:rPr>
                <w:rFonts w:cs="Arial"/>
                <w:color w:val="000000"/>
              </w:rPr>
            </w:pPr>
            <w:r w:rsidRPr="00C12E2E">
              <w:t>478.</w:t>
            </w:r>
            <w:r>
              <w:t>7</w:t>
            </w:r>
          </w:p>
        </w:tc>
      </w:tr>
      <w:tr w:rsidR="006619F2" w14:paraId="2D21E6C9" w14:textId="77777777" w:rsidTr="00DA5579">
        <w:tc>
          <w:tcPr>
            <w:tcW w:w="3005" w:type="dxa"/>
          </w:tcPr>
          <w:p w14:paraId="2D21E6C6" w14:textId="77777777" w:rsidR="00DA5579" w:rsidRPr="00334A16" w:rsidRDefault="0058317E" w:rsidP="00DA5579">
            <w:pPr>
              <w:jc w:val="both"/>
            </w:pPr>
            <w:r w:rsidRPr="00334A16">
              <w:t>Short term borrowing</w:t>
            </w:r>
          </w:p>
        </w:tc>
        <w:tc>
          <w:tcPr>
            <w:tcW w:w="1810" w:type="dxa"/>
          </w:tcPr>
          <w:p w14:paraId="2D21E6C7" w14:textId="77777777" w:rsidR="00DA5579" w:rsidRPr="00334A16" w:rsidRDefault="0058317E" w:rsidP="00DA5579">
            <w:pPr>
              <w:jc w:val="right"/>
              <w:rPr>
                <w:rFonts w:cs="Arial"/>
                <w:color w:val="000000"/>
              </w:rPr>
            </w:pPr>
            <w:r>
              <w:rPr>
                <w:rFonts w:cs="Arial"/>
                <w:color w:val="000000"/>
              </w:rPr>
              <w:t>700.8</w:t>
            </w:r>
          </w:p>
        </w:tc>
        <w:tc>
          <w:tcPr>
            <w:tcW w:w="1810" w:type="dxa"/>
            <w:shd w:val="clear" w:color="auto" w:fill="auto"/>
          </w:tcPr>
          <w:p w14:paraId="2D21E6C8" w14:textId="77777777" w:rsidR="00DA5579" w:rsidRPr="00334A16" w:rsidRDefault="0058317E" w:rsidP="00DA5579">
            <w:pPr>
              <w:jc w:val="right"/>
              <w:rPr>
                <w:rFonts w:cs="Arial"/>
                <w:color w:val="000000"/>
              </w:rPr>
            </w:pPr>
            <w:r w:rsidRPr="00C12E2E">
              <w:t>556.</w:t>
            </w:r>
            <w:r>
              <w:t>2</w:t>
            </w:r>
          </w:p>
        </w:tc>
      </w:tr>
      <w:tr w:rsidR="006619F2" w14:paraId="2D21E6CD" w14:textId="77777777" w:rsidTr="00DA5579">
        <w:tc>
          <w:tcPr>
            <w:tcW w:w="3005" w:type="dxa"/>
          </w:tcPr>
          <w:p w14:paraId="2D21E6CA" w14:textId="77777777" w:rsidR="00DA5579" w:rsidRPr="00E21C48" w:rsidRDefault="0058317E" w:rsidP="00DA5579">
            <w:pPr>
              <w:jc w:val="both"/>
              <w:rPr>
                <w:b/>
              </w:rPr>
            </w:pPr>
            <w:r w:rsidRPr="00E21C48">
              <w:rPr>
                <w:b/>
              </w:rPr>
              <w:t>Total borrowing</w:t>
            </w:r>
          </w:p>
        </w:tc>
        <w:tc>
          <w:tcPr>
            <w:tcW w:w="1810" w:type="dxa"/>
          </w:tcPr>
          <w:p w14:paraId="2D21E6CB" w14:textId="77777777" w:rsidR="00DA5579" w:rsidRPr="00CC4F68" w:rsidRDefault="0058317E" w:rsidP="00DA5579">
            <w:pPr>
              <w:jc w:val="right"/>
              <w:rPr>
                <w:rFonts w:cs="Arial"/>
                <w:b/>
                <w:color w:val="000000"/>
              </w:rPr>
            </w:pPr>
            <w:r>
              <w:rPr>
                <w:rFonts w:cs="Arial"/>
                <w:b/>
                <w:color w:val="000000"/>
              </w:rPr>
              <w:t>1,545.4</w:t>
            </w:r>
          </w:p>
        </w:tc>
        <w:tc>
          <w:tcPr>
            <w:tcW w:w="1810" w:type="dxa"/>
            <w:shd w:val="clear" w:color="auto" w:fill="auto"/>
          </w:tcPr>
          <w:p w14:paraId="2D21E6CC" w14:textId="77777777" w:rsidR="00DA5579" w:rsidRPr="00CC4F68" w:rsidRDefault="0058317E" w:rsidP="00DA5579">
            <w:pPr>
              <w:jc w:val="right"/>
              <w:rPr>
                <w:rFonts w:cs="Arial"/>
                <w:b/>
                <w:color w:val="000000"/>
              </w:rPr>
            </w:pPr>
            <w:r w:rsidRPr="00CC4F68">
              <w:rPr>
                <w:b/>
              </w:rPr>
              <w:t>1,034.</w:t>
            </w:r>
            <w:r>
              <w:rPr>
                <w:b/>
              </w:rPr>
              <w:t>9</w:t>
            </w:r>
          </w:p>
        </w:tc>
      </w:tr>
      <w:tr w:rsidR="006619F2" w14:paraId="2D21E6D1" w14:textId="77777777" w:rsidTr="00DA5579">
        <w:tc>
          <w:tcPr>
            <w:tcW w:w="3005" w:type="dxa"/>
          </w:tcPr>
          <w:p w14:paraId="2D21E6CE" w14:textId="77777777" w:rsidR="00DA5579" w:rsidRPr="00334A16" w:rsidRDefault="003A3CFD" w:rsidP="00DA5579">
            <w:pPr>
              <w:jc w:val="both"/>
            </w:pPr>
          </w:p>
        </w:tc>
        <w:tc>
          <w:tcPr>
            <w:tcW w:w="1810" w:type="dxa"/>
          </w:tcPr>
          <w:p w14:paraId="2D21E6CF" w14:textId="77777777" w:rsidR="00DA5579" w:rsidRPr="00334A16" w:rsidRDefault="003A3CFD" w:rsidP="00DA5579">
            <w:pPr>
              <w:jc w:val="right"/>
            </w:pPr>
          </w:p>
        </w:tc>
        <w:tc>
          <w:tcPr>
            <w:tcW w:w="1810" w:type="dxa"/>
          </w:tcPr>
          <w:p w14:paraId="2D21E6D0" w14:textId="77777777" w:rsidR="00DA5579" w:rsidRPr="00334A16" w:rsidRDefault="0058317E" w:rsidP="00DA5579">
            <w:pPr>
              <w:jc w:val="right"/>
            </w:pPr>
            <w:r w:rsidRPr="00C12E2E">
              <w:t xml:space="preserve"> </w:t>
            </w:r>
          </w:p>
        </w:tc>
      </w:tr>
      <w:tr w:rsidR="006619F2" w14:paraId="2D21E6D5" w14:textId="77777777" w:rsidTr="00DA5579">
        <w:tc>
          <w:tcPr>
            <w:tcW w:w="3005" w:type="dxa"/>
          </w:tcPr>
          <w:p w14:paraId="2D21E6D2" w14:textId="77777777" w:rsidR="00DA5579" w:rsidRPr="00334A16" w:rsidRDefault="0058317E" w:rsidP="00DA5579">
            <w:pPr>
              <w:jc w:val="both"/>
            </w:pPr>
            <w:r w:rsidRPr="00334A16">
              <w:t>Long term investments</w:t>
            </w:r>
          </w:p>
        </w:tc>
        <w:tc>
          <w:tcPr>
            <w:tcW w:w="1810" w:type="dxa"/>
          </w:tcPr>
          <w:p w14:paraId="2D21E6D3" w14:textId="77777777" w:rsidR="00DA5579" w:rsidRPr="00334A16" w:rsidRDefault="0058317E" w:rsidP="00DA5579">
            <w:pPr>
              <w:jc w:val="right"/>
            </w:pPr>
            <w:r>
              <w:t>300.6</w:t>
            </w:r>
          </w:p>
        </w:tc>
        <w:tc>
          <w:tcPr>
            <w:tcW w:w="1810" w:type="dxa"/>
          </w:tcPr>
          <w:p w14:paraId="2D21E6D4" w14:textId="77777777" w:rsidR="00DA5579" w:rsidRPr="00334A16" w:rsidRDefault="0058317E" w:rsidP="00DA5579">
            <w:pPr>
              <w:jc w:val="right"/>
            </w:pPr>
            <w:r>
              <w:t>326.8</w:t>
            </w:r>
          </w:p>
        </w:tc>
      </w:tr>
      <w:tr w:rsidR="006619F2" w14:paraId="2D21E6D9" w14:textId="77777777" w:rsidTr="00DA5579">
        <w:tc>
          <w:tcPr>
            <w:tcW w:w="3005" w:type="dxa"/>
          </w:tcPr>
          <w:p w14:paraId="2D21E6D6" w14:textId="77777777" w:rsidR="00DA5579" w:rsidRPr="00334A16" w:rsidRDefault="0058317E" w:rsidP="00DA5579">
            <w:pPr>
              <w:jc w:val="both"/>
            </w:pPr>
            <w:r w:rsidRPr="00334A16">
              <w:t>Short term investments</w:t>
            </w:r>
          </w:p>
        </w:tc>
        <w:tc>
          <w:tcPr>
            <w:tcW w:w="1810" w:type="dxa"/>
          </w:tcPr>
          <w:p w14:paraId="2D21E6D7" w14:textId="77777777" w:rsidR="00DA5579" w:rsidRPr="00334A16" w:rsidRDefault="0058317E" w:rsidP="00DA5579">
            <w:pPr>
              <w:jc w:val="right"/>
            </w:pPr>
            <w:r>
              <w:t>607.2</w:t>
            </w:r>
          </w:p>
        </w:tc>
        <w:tc>
          <w:tcPr>
            <w:tcW w:w="1810" w:type="dxa"/>
          </w:tcPr>
          <w:p w14:paraId="2D21E6D8" w14:textId="77777777" w:rsidR="00DA5579" w:rsidRPr="00334A16" w:rsidRDefault="0058317E" w:rsidP="00DA5579">
            <w:pPr>
              <w:jc w:val="right"/>
            </w:pPr>
            <w:r w:rsidRPr="00C12E2E">
              <w:t>97.4</w:t>
            </w:r>
          </w:p>
        </w:tc>
      </w:tr>
      <w:tr w:rsidR="006619F2" w14:paraId="2D21E6DD" w14:textId="77777777" w:rsidTr="00DA5579">
        <w:tc>
          <w:tcPr>
            <w:tcW w:w="3005" w:type="dxa"/>
          </w:tcPr>
          <w:p w14:paraId="2D21E6DA" w14:textId="77777777" w:rsidR="00DA5579" w:rsidRPr="00E21C48" w:rsidRDefault="0058317E" w:rsidP="00DA5579">
            <w:pPr>
              <w:jc w:val="both"/>
              <w:rPr>
                <w:b/>
              </w:rPr>
            </w:pPr>
            <w:r w:rsidRPr="00E21C48">
              <w:rPr>
                <w:b/>
              </w:rPr>
              <w:t xml:space="preserve">Total </w:t>
            </w:r>
            <w:r>
              <w:rPr>
                <w:b/>
              </w:rPr>
              <w:t>i</w:t>
            </w:r>
            <w:r w:rsidRPr="00E21C48">
              <w:rPr>
                <w:b/>
              </w:rPr>
              <w:t>nvestments</w:t>
            </w:r>
          </w:p>
        </w:tc>
        <w:tc>
          <w:tcPr>
            <w:tcW w:w="1810" w:type="dxa"/>
          </w:tcPr>
          <w:p w14:paraId="2D21E6DB" w14:textId="77777777" w:rsidR="00DA5579" w:rsidRPr="00CC4F68" w:rsidRDefault="0058317E" w:rsidP="00DA5579">
            <w:pPr>
              <w:jc w:val="right"/>
              <w:rPr>
                <w:b/>
              </w:rPr>
            </w:pPr>
            <w:r>
              <w:rPr>
                <w:b/>
              </w:rPr>
              <w:t>907.8</w:t>
            </w:r>
          </w:p>
        </w:tc>
        <w:tc>
          <w:tcPr>
            <w:tcW w:w="1810" w:type="dxa"/>
          </w:tcPr>
          <w:p w14:paraId="2D21E6DC" w14:textId="77777777" w:rsidR="00DA5579" w:rsidRPr="00CC4F68" w:rsidRDefault="0058317E" w:rsidP="00DA5579">
            <w:pPr>
              <w:jc w:val="right"/>
              <w:rPr>
                <w:b/>
              </w:rPr>
            </w:pPr>
            <w:r>
              <w:rPr>
                <w:b/>
              </w:rPr>
              <w:t>424.2</w:t>
            </w:r>
          </w:p>
        </w:tc>
      </w:tr>
    </w:tbl>
    <w:p w14:paraId="2D21E6DE" w14:textId="77777777" w:rsidR="00DA5579" w:rsidRPr="00081ADC" w:rsidRDefault="003A3CFD" w:rsidP="00DA5579">
      <w:pPr>
        <w:jc w:val="both"/>
        <w:rPr>
          <w:b/>
          <w:color w:val="FF0000"/>
          <w:highlight w:val="yellow"/>
        </w:rPr>
      </w:pPr>
    </w:p>
    <w:p w14:paraId="2D21E6DF" w14:textId="77777777" w:rsidR="00DA5579" w:rsidRPr="00A93EF9" w:rsidRDefault="0058317E" w:rsidP="00DA5579">
      <w:pPr>
        <w:jc w:val="both"/>
        <w:rPr>
          <w:b/>
        </w:rPr>
      </w:pPr>
      <w:r w:rsidRPr="00A93EF9">
        <w:rPr>
          <w:b/>
        </w:rPr>
        <w:t>Borrowing Activity 201</w:t>
      </w:r>
      <w:r>
        <w:rPr>
          <w:b/>
        </w:rPr>
        <w:t>9</w:t>
      </w:r>
      <w:r w:rsidRPr="00A93EF9">
        <w:rPr>
          <w:b/>
        </w:rPr>
        <w:t>/</w:t>
      </w:r>
      <w:r>
        <w:rPr>
          <w:b/>
        </w:rPr>
        <w:t>20</w:t>
      </w:r>
    </w:p>
    <w:p w14:paraId="2D21E6E0" w14:textId="77777777" w:rsidR="00DA5579" w:rsidRDefault="003A3CFD" w:rsidP="00DA5579">
      <w:pPr>
        <w:jc w:val="both"/>
        <w:rPr>
          <w:b/>
          <w:highlight w:val="yellow"/>
        </w:rPr>
      </w:pPr>
    </w:p>
    <w:p w14:paraId="2D21E6E1" w14:textId="77777777" w:rsidR="00DA5579" w:rsidRDefault="0058317E" w:rsidP="00DA5579">
      <w:pPr>
        <w:jc w:val="both"/>
      </w:pPr>
      <w:r>
        <w:t xml:space="preserve">The Code requires that the </w:t>
      </w:r>
      <w:r w:rsidRPr="000E43AF">
        <w:t>council</w:t>
      </w:r>
      <w:r>
        <w:t xml:space="preserve">, in the medium term, only </w:t>
      </w:r>
      <w:r w:rsidRPr="000E43AF">
        <w:t xml:space="preserve">borrows for capital purposes </w:t>
      </w:r>
      <w:r>
        <w:t>(</w:t>
      </w:r>
      <w:r w:rsidRPr="000E43AF">
        <w:t>with the underlying need to borrow for capital purposes being measured by the Capital Financing Requirement</w:t>
      </w:r>
      <w:r>
        <w:t xml:space="preserve"> adjusted for premiums and debt relating to other authorities). Total borrowing in the year was managed within the operational and authorised borrowing limits as approved in the Treasury Management Strategy which reflects the underlying need to borrow for capital.  </w:t>
      </w:r>
    </w:p>
    <w:p w14:paraId="2D21E6E2" w14:textId="77777777" w:rsidR="00DA5579" w:rsidRDefault="003A3CFD" w:rsidP="00DA5579">
      <w:pPr>
        <w:jc w:val="both"/>
      </w:pPr>
    </w:p>
    <w:p w14:paraId="2D21E6E3" w14:textId="67C64B82" w:rsidR="00DA5579" w:rsidRDefault="0058317E" w:rsidP="00DA5579">
      <w:pPr>
        <w:jc w:val="both"/>
      </w:pPr>
      <w:r>
        <w:t>In previous years</w:t>
      </w:r>
      <w:r w:rsidR="00A952CA">
        <w:t>,</w:t>
      </w:r>
      <w:r>
        <w:t xml:space="preserve"> the council has pursued a policy of </w:t>
      </w:r>
      <w:r w:rsidRPr="008662D0">
        <w:t>taking short term borrowing</w:t>
      </w:r>
      <w:r>
        <w:t xml:space="preserve"> as</w:t>
      </w:r>
      <w:r w:rsidRPr="003E3F64">
        <w:t xml:space="preserve"> short-term interest rates </w:t>
      </w:r>
      <w:r>
        <w:t xml:space="preserve">have been lower than long-term rates. This policy is reflected in the debt portfolio at the beginning of the year with a high level of short term borrowing. Consequently, the council had a significant requirement to replace existing short term borrowing in year along with a requirement to fund new capital expenditure. </w:t>
      </w:r>
    </w:p>
    <w:p w14:paraId="2D21E6E5" w14:textId="0AFFA945" w:rsidR="00DA5579" w:rsidRPr="001F32EE" w:rsidRDefault="0058317E" w:rsidP="00DA5579">
      <w:pPr>
        <w:jc w:val="both"/>
      </w:pPr>
      <w:r w:rsidRPr="001F32EE">
        <w:lastRenderedPageBreak/>
        <w:t xml:space="preserve">Short term borrowing was continued during 2019/20. However, there is significant economic uncertainty and interest rates are at historically low levels. Therefore the benefits of re-balancing the debt portfolio and securing debt on a longer term basis to reduce re-financing risk and provide increased certainty of cost was </w:t>
      </w:r>
      <w:r>
        <w:t>regularly</w:t>
      </w:r>
      <w:r w:rsidRPr="001F32EE">
        <w:t xml:space="preserve"> reviewed and it</w:t>
      </w:r>
      <w:r>
        <w:t xml:space="preserve"> was considered</w:t>
      </w:r>
      <w:r w:rsidRPr="001F32EE">
        <w:t xml:space="preserve"> an appropriate time to re-balance the portfolio</w:t>
      </w:r>
      <w:r>
        <w:t xml:space="preserve"> during the year</w:t>
      </w:r>
      <w:r w:rsidRPr="001F32EE">
        <w:t>. As a consequence the year saw new long term P</w:t>
      </w:r>
      <w:r>
        <w:t xml:space="preserve">ublic </w:t>
      </w:r>
      <w:r w:rsidRPr="001F32EE">
        <w:t>W</w:t>
      </w:r>
      <w:r>
        <w:t xml:space="preserve">orks </w:t>
      </w:r>
      <w:r w:rsidRPr="001F32EE">
        <w:t>L</w:t>
      </w:r>
      <w:r>
        <w:t xml:space="preserve">oan </w:t>
      </w:r>
      <w:r w:rsidRPr="001F32EE">
        <w:t>B</w:t>
      </w:r>
      <w:r>
        <w:t>oard (PWLB)</w:t>
      </w:r>
      <w:r w:rsidRPr="001F32EE">
        <w:t xml:space="preserve"> loans of £70m taken which ha</w:t>
      </w:r>
      <w:r>
        <w:t>ve</w:t>
      </w:r>
      <w:r w:rsidRPr="001F32EE">
        <w:t xml:space="preserve"> maturities in excess of 45 years. In addition, a £150m </w:t>
      </w:r>
      <w:r>
        <w:t>eighteen month</w:t>
      </w:r>
      <w:r w:rsidRPr="001F32EE">
        <w:t xml:space="preserve"> loan was taken in March 2020 to secure liquidity </w:t>
      </w:r>
      <w:r>
        <w:t xml:space="preserve">in </w:t>
      </w:r>
      <w:r w:rsidR="001E589B">
        <w:t>response to</w:t>
      </w:r>
      <w:r w:rsidRPr="001F32EE">
        <w:t xml:space="preserve"> </w:t>
      </w:r>
      <w:r>
        <w:t xml:space="preserve">the </w:t>
      </w:r>
      <w:r w:rsidRPr="001F32EE">
        <w:t>C</w:t>
      </w:r>
      <w:r>
        <w:t>OVID</w:t>
      </w:r>
      <w:r w:rsidRPr="001F32EE">
        <w:t>-19 pandemic</w:t>
      </w:r>
      <w:r>
        <w:t xml:space="preserve"> which</w:t>
      </w:r>
      <w:r w:rsidRPr="001F32EE">
        <w:t xml:space="preserve"> </w:t>
      </w:r>
      <w:r>
        <w:t>posed a potential risk to accessing finance</w:t>
      </w:r>
      <w:r w:rsidRPr="001F32EE">
        <w:t>.</w:t>
      </w:r>
    </w:p>
    <w:p w14:paraId="2D21E6E6" w14:textId="77777777" w:rsidR="00DA5579" w:rsidRPr="001F32EE" w:rsidRDefault="003A3CFD" w:rsidP="00DA5579">
      <w:pPr>
        <w:jc w:val="both"/>
      </w:pPr>
    </w:p>
    <w:p w14:paraId="2D21E6E7" w14:textId="7FAD1EB2" w:rsidR="00DA5579" w:rsidRPr="001F32EE" w:rsidRDefault="0058317E" w:rsidP="00DA5579">
      <w:pPr>
        <w:jc w:val="both"/>
      </w:pPr>
      <w:r w:rsidRPr="001F32EE">
        <w:t xml:space="preserve">Although the long term debt taken from the </w:t>
      </w:r>
      <w:r w:rsidR="00A952CA">
        <w:t xml:space="preserve">Public Works Loan </w:t>
      </w:r>
      <w:r w:rsidR="001E589B">
        <w:t xml:space="preserve">Board </w:t>
      </w:r>
      <w:r w:rsidR="001E589B" w:rsidRPr="001F32EE">
        <w:t>has</w:t>
      </w:r>
      <w:r w:rsidRPr="001F32EE">
        <w:t xml:space="preserve"> provided some long term security</w:t>
      </w:r>
      <w:r w:rsidR="001E589B">
        <w:t>,</w:t>
      </w:r>
      <w:r w:rsidRPr="001F32EE">
        <w:t xml:space="preserve"> it was still considered that </w:t>
      </w:r>
      <w:r w:rsidR="001E589B">
        <w:t xml:space="preserve">the </w:t>
      </w:r>
      <w:r w:rsidRPr="001F32EE">
        <w:t xml:space="preserve">overall portfolio needed to be rebalanced with some more borrowing in the 5-10 year maturity period. The options for borrowing for </w:t>
      </w:r>
      <w:r w:rsidR="001E589B">
        <w:t>five</w:t>
      </w:r>
      <w:r w:rsidRPr="001F32EE">
        <w:t xml:space="preserve"> years included both the </w:t>
      </w:r>
      <w:r w:rsidR="00A952CA">
        <w:t xml:space="preserve">Public Works Loan </w:t>
      </w:r>
      <w:r w:rsidR="001E589B">
        <w:t xml:space="preserve">Board </w:t>
      </w:r>
      <w:r w:rsidR="001E589B" w:rsidRPr="001F32EE">
        <w:t>and</w:t>
      </w:r>
      <w:r w:rsidRPr="001F32EE">
        <w:t xml:space="preserve"> potentially direct</w:t>
      </w:r>
      <w:r>
        <w:t>ly</w:t>
      </w:r>
      <w:r w:rsidRPr="001F32EE">
        <w:t xml:space="preserve"> with another local authority or bank. However local authority fixed deals are not too common for that period and the </w:t>
      </w:r>
      <w:r w:rsidR="00A952CA">
        <w:t xml:space="preserve">Public Works Loan </w:t>
      </w:r>
      <w:r w:rsidR="001E589B">
        <w:t xml:space="preserve">Board </w:t>
      </w:r>
      <w:r w:rsidR="001E589B" w:rsidRPr="001F32EE">
        <w:t>rates</w:t>
      </w:r>
      <w:r w:rsidRPr="001F32EE">
        <w:t xml:space="preserve"> were considered to be expensive</w:t>
      </w:r>
      <w:r w:rsidR="001E589B">
        <w:t>,</w:t>
      </w:r>
      <w:r w:rsidRPr="001F32EE">
        <w:t xml:space="preserve"> especially after the </w:t>
      </w:r>
      <w:r w:rsidR="00A952CA">
        <w:t xml:space="preserve">Public Works Loan </w:t>
      </w:r>
      <w:r w:rsidR="001E589B">
        <w:t xml:space="preserve">Board </w:t>
      </w:r>
      <w:r w:rsidR="001E589B" w:rsidRPr="001F32EE">
        <w:t>took</w:t>
      </w:r>
      <w:r w:rsidRPr="001F32EE">
        <w:t xml:space="preserve"> the decision to increase rates by 1% above Gilt rates. </w:t>
      </w:r>
    </w:p>
    <w:p w14:paraId="2D21E6E8" w14:textId="77777777" w:rsidR="00DA5579" w:rsidRPr="001F32EE" w:rsidRDefault="003A3CFD" w:rsidP="00DA5579">
      <w:pPr>
        <w:jc w:val="both"/>
      </w:pPr>
    </w:p>
    <w:p w14:paraId="2D21E6E9" w14:textId="7F2BF4AC" w:rsidR="00DA5579" w:rsidRPr="001F32EE" w:rsidRDefault="0058317E" w:rsidP="00DA5579">
      <w:pPr>
        <w:jc w:val="both"/>
      </w:pPr>
      <w:r w:rsidRPr="001F32EE">
        <w:t xml:space="preserve">The opportunity arose to work with the Municipal Bond Agency to </w:t>
      </w:r>
      <w:r>
        <w:t>work towards</w:t>
      </w:r>
      <w:r w:rsidRPr="001F32EE">
        <w:t xml:space="preserve"> an initial bond issuance by the county council</w:t>
      </w:r>
      <w:r>
        <w:t>.</w:t>
      </w:r>
      <w:r w:rsidRPr="001F32EE">
        <w:t xml:space="preserve"> </w:t>
      </w:r>
      <w:r>
        <w:t>I</w:t>
      </w:r>
      <w:r w:rsidRPr="001F32EE">
        <w:t xml:space="preserve">t was felt that </w:t>
      </w:r>
      <w:r>
        <w:t xml:space="preserve">a </w:t>
      </w:r>
      <w:r w:rsidR="001E589B">
        <w:t>five year</w:t>
      </w:r>
      <w:r>
        <w:t xml:space="preserve"> bond</w:t>
      </w:r>
      <w:r w:rsidRPr="001F32EE">
        <w:t xml:space="preserve"> would be an appropriate time period. Therefore in March 2020</w:t>
      </w:r>
      <w:r w:rsidR="001E589B">
        <w:t>,</w:t>
      </w:r>
      <w:r w:rsidRPr="001F32EE">
        <w:t xml:space="preserve"> the council issued a bond</w:t>
      </w:r>
      <w:r>
        <w:t>,</w:t>
      </w:r>
      <w:r w:rsidRPr="001F32EE">
        <w:t xml:space="preserve"> the key features of which were</w:t>
      </w:r>
      <w:r>
        <w:t xml:space="preserve"> as follows</w:t>
      </w:r>
      <w:r w:rsidRPr="001F32EE">
        <w:t>:</w:t>
      </w:r>
    </w:p>
    <w:p w14:paraId="2D21E6EB" w14:textId="77777777" w:rsidR="00DA5579" w:rsidRPr="001F32EE" w:rsidRDefault="0058317E" w:rsidP="00DA5579">
      <w:pPr>
        <w:jc w:val="both"/>
      </w:pPr>
      <w:r w:rsidRPr="001F32EE">
        <w:t>•</w:t>
      </w:r>
      <w:r w:rsidRPr="001F32EE">
        <w:tab/>
        <w:t>£350m issued</w:t>
      </w:r>
      <w:r w:rsidRPr="001F32EE">
        <w:tab/>
      </w:r>
    </w:p>
    <w:p w14:paraId="2D21E6EC" w14:textId="71B46EDB" w:rsidR="00DA5579" w:rsidRPr="001F32EE" w:rsidRDefault="0058317E" w:rsidP="00DA5579">
      <w:pPr>
        <w:jc w:val="both"/>
      </w:pPr>
      <w:r w:rsidRPr="001F32EE">
        <w:t>•</w:t>
      </w:r>
      <w:r w:rsidRPr="001F32EE">
        <w:tab/>
      </w:r>
      <w:r w:rsidR="001E589B">
        <w:t xml:space="preserve">Five </w:t>
      </w:r>
      <w:r w:rsidR="001E589B" w:rsidRPr="001F32EE">
        <w:t>year</w:t>
      </w:r>
      <w:r w:rsidRPr="001F32EE">
        <w:t xml:space="preserve"> maturity</w:t>
      </w:r>
    </w:p>
    <w:p w14:paraId="2D21E6ED" w14:textId="77777777" w:rsidR="00DA5579" w:rsidRPr="001F32EE" w:rsidRDefault="0058317E" w:rsidP="00DA5579">
      <w:pPr>
        <w:jc w:val="both"/>
      </w:pPr>
      <w:r w:rsidRPr="001F32EE">
        <w:t>•</w:t>
      </w:r>
      <w:r w:rsidRPr="001F32EE">
        <w:tab/>
      </w:r>
      <w:r>
        <w:t>T</w:t>
      </w:r>
      <w:r w:rsidRPr="001F32EE">
        <w:t>he principal is repaid on the maturity date</w:t>
      </w:r>
      <w:r>
        <w:t>,</w:t>
      </w:r>
      <w:r w:rsidRPr="001F32EE">
        <w:t xml:space="preserve"> there is no obligation to pay earlier.</w:t>
      </w:r>
    </w:p>
    <w:p w14:paraId="2D21E6EE" w14:textId="27C26B7C" w:rsidR="00DA5579" w:rsidRDefault="0058317E" w:rsidP="00DA5579">
      <w:pPr>
        <w:ind w:left="709" w:hanging="709"/>
        <w:jc w:val="both"/>
      </w:pPr>
      <w:r w:rsidRPr="001F32EE">
        <w:t>•</w:t>
      </w:r>
      <w:r w:rsidRPr="001F32EE">
        <w:tab/>
        <w:t xml:space="preserve">Interest rates payable are variable </w:t>
      </w:r>
      <w:r>
        <w:t xml:space="preserve">and </w:t>
      </w:r>
      <w:r w:rsidRPr="001F32EE">
        <w:t>will be changed on specific dates linked to an indices (</w:t>
      </w:r>
      <w:r w:rsidR="001E589B" w:rsidRPr="001E589B">
        <w:t>S</w:t>
      </w:r>
      <w:r w:rsidR="001E589B">
        <w:t xml:space="preserve">terling Overnight Index Average - </w:t>
      </w:r>
      <w:r w:rsidRPr="001F32EE">
        <w:t>SONIA)</w:t>
      </w:r>
      <w:r>
        <w:tab/>
      </w:r>
    </w:p>
    <w:p w14:paraId="2D21E6EF" w14:textId="77777777" w:rsidR="00DA5579" w:rsidRDefault="0058317E" w:rsidP="00DA5579">
      <w:pPr>
        <w:jc w:val="both"/>
        <w:rPr>
          <w:highlight w:val="yellow"/>
        </w:rPr>
      </w:pPr>
      <w:r w:rsidRPr="004A511E">
        <w:t>.</w:t>
      </w:r>
    </w:p>
    <w:p w14:paraId="2D21E6F0" w14:textId="77777777" w:rsidR="00DA5579" w:rsidRPr="00300AF1" w:rsidRDefault="0058317E" w:rsidP="00DA5579">
      <w:pPr>
        <w:jc w:val="both"/>
        <w:rPr>
          <w:b/>
          <w:szCs w:val="24"/>
        </w:rPr>
      </w:pPr>
      <w:r w:rsidRPr="001F32EE">
        <w:rPr>
          <w:b/>
          <w:szCs w:val="24"/>
        </w:rPr>
        <w:t>Analysis of Borrowing Outstanding</w:t>
      </w:r>
      <w:r w:rsidRPr="00300AF1">
        <w:rPr>
          <w:b/>
          <w:szCs w:val="24"/>
        </w:rPr>
        <w:t xml:space="preserve"> </w:t>
      </w:r>
    </w:p>
    <w:p w14:paraId="2D21E6F1" w14:textId="77777777" w:rsidR="00DA5579" w:rsidRPr="00300AF1" w:rsidRDefault="003A3CFD" w:rsidP="00DA5579">
      <w:pPr>
        <w:jc w:val="both"/>
        <w:rPr>
          <w:b/>
          <w:szCs w:val="24"/>
        </w:rPr>
      </w:pPr>
    </w:p>
    <w:tbl>
      <w:tblPr>
        <w:tblW w:w="0" w:type="auto"/>
        <w:tblLook w:val="04A0" w:firstRow="1" w:lastRow="0" w:firstColumn="1" w:lastColumn="0" w:noHBand="0" w:noVBand="1"/>
      </w:tblPr>
      <w:tblGrid>
        <w:gridCol w:w="2835"/>
        <w:gridCol w:w="1134"/>
        <w:gridCol w:w="567"/>
        <w:gridCol w:w="1134"/>
        <w:gridCol w:w="1424"/>
        <w:gridCol w:w="1136"/>
        <w:gridCol w:w="708"/>
      </w:tblGrid>
      <w:tr w:rsidR="006619F2" w14:paraId="2D21E6F9" w14:textId="77777777" w:rsidTr="00DA5579">
        <w:trPr>
          <w:trHeight w:val="735"/>
        </w:trPr>
        <w:tc>
          <w:tcPr>
            <w:tcW w:w="2835" w:type="dxa"/>
            <w:tcBorders>
              <w:top w:val="nil"/>
              <w:left w:val="nil"/>
              <w:bottom w:val="nil"/>
              <w:right w:val="nil"/>
            </w:tcBorders>
            <w:shd w:val="clear" w:color="auto" w:fill="auto"/>
            <w:noWrap/>
            <w:vAlign w:val="bottom"/>
            <w:hideMark/>
          </w:tcPr>
          <w:p w14:paraId="2D21E6F2" w14:textId="77777777" w:rsidR="00DA5579" w:rsidRPr="001F1C96" w:rsidRDefault="003A3CFD" w:rsidP="00DA5579">
            <w:pPr>
              <w:rPr>
                <w:rFonts w:cs="Arial"/>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000000" w:fill="DEEAF6"/>
            <w:vAlign w:val="center"/>
            <w:hideMark/>
          </w:tcPr>
          <w:p w14:paraId="2D21E6F3" w14:textId="77777777" w:rsidR="00DA5579" w:rsidRPr="001F1C96" w:rsidRDefault="0058317E" w:rsidP="00DA5579">
            <w:pPr>
              <w:rPr>
                <w:rFonts w:cs="Arial"/>
                <w:b/>
                <w:bCs/>
                <w:color w:val="000000"/>
                <w:sz w:val="18"/>
                <w:szCs w:val="18"/>
              </w:rPr>
            </w:pPr>
            <w:r w:rsidRPr="001F1C96">
              <w:rPr>
                <w:rFonts w:cs="Arial"/>
                <w:b/>
                <w:bCs/>
                <w:color w:val="000000"/>
                <w:sz w:val="18"/>
                <w:szCs w:val="18"/>
              </w:rPr>
              <w:t>Debt 31/03/201</w:t>
            </w:r>
            <w:r>
              <w:rPr>
                <w:rFonts w:cs="Arial"/>
                <w:b/>
                <w:bCs/>
                <w:color w:val="000000"/>
                <w:sz w:val="18"/>
                <w:szCs w:val="18"/>
              </w:rPr>
              <w:t>9</w:t>
            </w:r>
          </w:p>
        </w:tc>
        <w:tc>
          <w:tcPr>
            <w:tcW w:w="567" w:type="dxa"/>
            <w:tcBorders>
              <w:top w:val="single" w:sz="8" w:space="0" w:color="auto"/>
              <w:left w:val="nil"/>
              <w:bottom w:val="single" w:sz="8" w:space="0" w:color="auto"/>
              <w:right w:val="single" w:sz="8" w:space="0" w:color="auto"/>
            </w:tcBorders>
            <w:shd w:val="clear" w:color="000000" w:fill="DEEAF6"/>
            <w:noWrap/>
            <w:vAlign w:val="center"/>
            <w:hideMark/>
          </w:tcPr>
          <w:p w14:paraId="2D21E6F4" w14:textId="77777777" w:rsidR="00DA5579" w:rsidRPr="001F1C96" w:rsidRDefault="0058317E" w:rsidP="00DA5579">
            <w:pPr>
              <w:rPr>
                <w:rFonts w:cs="Arial"/>
                <w:b/>
                <w:bCs/>
                <w:color w:val="000000"/>
                <w:sz w:val="18"/>
                <w:szCs w:val="18"/>
              </w:rPr>
            </w:pPr>
            <w:r w:rsidRPr="001F1C96">
              <w:rPr>
                <w:rFonts w:cs="Arial"/>
                <w:b/>
                <w:bCs/>
                <w:color w:val="000000"/>
                <w:sz w:val="18"/>
                <w:szCs w:val="18"/>
              </w:rPr>
              <w:t> </w:t>
            </w:r>
          </w:p>
        </w:tc>
        <w:tc>
          <w:tcPr>
            <w:tcW w:w="1134" w:type="dxa"/>
            <w:tcBorders>
              <w:top w:val="single" w:sz="8" w:space="0" w:color="auto"/>
              <w:left w:val="nil"/>
              <w:bottom w:val="single" w:sz="8" w:space="0" w:color="auto"/>
              <w:right w:val="single" w:sz="8" w:space="0" w:color="auto"/>
            </w:tcBorders>
            <w:shd w:val="clear" w:color="000000" w:fill="DEEAF6"/>
            <w:noWrap/>
            <w:vAlign w:val="center"/>
            <w:hideMark/>
          </w:tcPr>
          <w:p w14:paraId="2D21E6F5" w14:textId="77777777" w:rsidR="00DA5579" w:rsidRPr="001F1C96" w:rsidRDefault="0058317E" w:rsidP="00DA5579">
            <w:pPr>
              <w:rPr>
                <w:rFonts w:cs="Arial"/>
                <w:b/>
                <w:bCs/>
                <w:color w:val="000000"/>
                <w:sz w:val="18"/>
                <w:szCs w:val="18"/>
              </w:rPr>
            </w:pPr>
            <w:r w:rsidRPr="001F1C96">
              <w:rPr>
                <w:rFonts w:cs="Arial"/>
                <w:b/>
                <w:bCs/>
                <w:color w:val="000000"/>
                <w:sz w:val="18"/>
                <w:szCs w:val="18"/>
              </w:rPr>
              <w:t>Borrowing</w:t>
            </w:r>
          </w:p>
        </w:tc>
        <w:tc>
          <w:tcPr>
            <w:tcW w:w="1424" w:type="dxa"/>
            <w:tcBorders>
              <w:top w:val="single" w:sz="8" w:space="0" w:color="auto"/>
              <w:left w:val="nil"/>
              <w:bottom w:val="single" w:sz="8" w:space="0" w:color="auto"/>
              <w:right w:val="single" w:sz="8" w:space="0" w:color="auto"/>
            </w:tcBorders>
            <w:shd w:val="clear" w:color="000000" w:fill="DEEAF6"/>
            <w:noWrap/>
            <w:vAlign w:val="center"/>
            <w:hideMark/>
          </w:tcPr>
          <w:p w14:paraId="2D21E6F6" w14:textId="77777777" w:rsidR="00DA5579" w:rsidRPr="001F1C96" w:rsidRDefault="0058317E" w:rsidP="00DA5579">
            <w:pPr>
              <w:rPr>
                <w:rFonts w:cs="Arial"/>
                <w:b/>
                <w:bCs/>
                <w:color w:val="000000"/>
                <w:sz w:val="18"/>
                <w:szCs w:val="18"/>
              </w:rPr>
            </w:pPr>
            <w:r w:rsidRPr="001F1C96">
              <w:rPr>
                <w:rFonts w:cs="Arial"/>
                <w:b/>
                <w:bCs/>
                <w:color w:val="000000"/>
                <w:sz w:val="18"/>
                <w:szCs w:val="18"/>
              </w:rPr>
              <w:t>Repayments</w:t>
            </w:r>
          </w:p>
        </w:tc>
        <w:tc>
          <w:tcPr>
            <w:tcW w:w="1136" w:type="dxa"/>
            <w:tcBorders>
              <w:top w:val="single" w:sz="8" w:space="0" w:color="auto"/>
              <w:left w:val="nil"/>
              <w:bottom w:val="single" w:sz="8" w:space="0" w:color="auto"/>
              <w:right w:val="single" w:sz="8" w:space="0" w:color="auto"/>
            </w:tcBorders>
            <w:shd w:val="clear" w:color="000000" w:fill="DEEAF6"/>
            <w:vAlign w:val="center"/>
            <w:hideMark/>
          </w:tcPr>
          <w:p w14:paraId="2D21E6F7" w14:textId="77777777" w:rsidR="00DA5579" w:rsidRPr="001F1C96" w:rsidRDefault="0058317E" w:rsidP="00DA5579">
            <w:pPr>
              <w:rPr>
                <w:rFonts w:cs="Arial"/>
                <w:b/>
                <w:bCs/>
                <w:color w:val="000000"/>
                <w:sz w:val="18"/>
                <w:szCs w:val="18"/>
              </w:rPr>
            </w:pPr>
            <w:r w:rsidRPr="001F1C96">
              <w:rPr>
                <w:rFonts w:cs="Arial"/>
                <w:b/>
                <w:bCs/>
                <w:color w:val="000000"/>
                <w:sz w:val="18"/>
                <w:szCs w:val="18"/>
              </w:rPr>
              <w:t>Debt 31/03/20</w:t>
            </w:r>
            <w:r>
              <w:rPr>
                <w:rFonts w:cs="Arial"/>
                <w:b/>
                <w:bCs/>
                <w:color w:val="000000"/>
                <w:sz w:val="18"/>
                <w:szCs w:val="18"/>
              </w:rPr>
              <w:t>20</w:t>
            </w:r>
          </w:p>
        </w:tc>
        <w:tc>
          <w:tcPr>
            <w:tcW w:w="708" w:type="dxa"/>
            <w:tcBorders>
              <w:top w:val="single" w:sz="8" w:space="0" w:color="auto"/>
              <w:left w:val="nil"/>
              <w:bottom w:val="single" w:sz="8" w:space="0" w:color="auto"/>
              <w:right w:val="single" w:sz="8" w:space="0" w:color="auto"/>
            </w:tcBorders>
            <w:shd w:val="clear" w:color="000000" w:fill="DEEAF6"/>
            <w:noWrap/>
            <w:vAlign w:val="center"/>
            <w:hideMark/>
          </w:tcPr>
          <w:p w14:paraId="2D21E6F8" w14:textId="77777777" w:rsidR="00DA5579" w:rsidRPr="001F1C96" w:rsidRDefault="0058317E" w:rsidP="00DA5579">
            <w:pPr>
              <w:rPr>
                <w:rFonts w:cs="Arial"/>
                <w:b/>
                <w:bCs/>
                <w:color w:val="000000"/>
                <w:sz w:val="18"/>
                <w:szCs w:val="18"/>
              </w:rPr>
            </w:pPr>
            <w:r w:rsidRPr="001F1C96">
              <w:rPr>
                <w:rFonts w:cs="Arial"/>
                <w:b/>
                <w:bCs/>
                <w:color w:val="000000"/>
                <w:sz w:val="18"/>
                <w:szCs w:val="18"/>
              </w:rPr>
              <w:t> </w:t>
            </w:r>
          </w:p>
        </w:tc>
      </w:tr>
      <w:tr w:rsidR="006619F2" w14:paraId="2D21E701" w14:textId="77777777" w:rsidTr="00DA5579">
        <w:trPr>
          <w:trHeight w:val="315"/>
        </w:trPr>
        <w:tc>
          <w:tcPr>
            <w:tcW w:w="2835" w:type="dxa"/>
            <w:tcBorders>
              <w:top w:val="nil"/>
              <w:left w:val="nil"/>
              <w:bottom w:val="nil"/>
              <w:right w:val="nil"/>
            </w:tcBorders>
            <w:shd w:val="clear" w:color="auto" w:fill="auto"/>
            <w:noWrap/>
            <w:vAlign w:val="bottom"/>
            <w:hideMark/>
          </w:tcPr>
          <w:p w14:paraId="2D21E6FA" w14:textId="77777777" w:rsidR="00DA5579" w:rsidRPr="001F1C96" w:rsidRDefault="003A3CFD" w:rsidP="00DA5579">
            <w:pPr>
              <w:rPr>
                <w:rFonts w:cs="Arial"/>
                <w:b/>
                <w:bCs/>
                <w:color w:val="000000"/>
                <w:sz w:val="18"/>
                <w:szCs w:val="18"/>
              </w:rPr>
            </w:pPr>
          </w:p>
        </w:tc>
        <w:tc>
          <w:tcPr>
            <w:tcW w:w="1134" w:type="dxa"/>
            <w:tcBorders>
              <w:top w:val="nil"/>
              <w:left w:val="single" w:sz="8" w:space="0" w:color="auto"/>
              <w:bottom w:val="single" w:sz="8" w:space="0" w:color="auto"/>
              <w:right w:val="single" w:sz="8" w:space="0" w:color="auto"/>
            </w:tcBorders>
            <w:shd w:val="clear" w:color="000000" w:fill="DEEAF6"/>
            <w:noWrap/>
            <w:vAlign w:val="center"/>
            <w:hideMark/>
          </w:tcPr>
          <w:p w14:paraId="2D21E6FB" w14:textId="77777777" w:rsidR="00DA5579" w:rsidRPr="001F1C96" w:rsidRDefault="0058317E" w:rsidP="00DA5579">
            <w:pPr>
              <w:rPr>
                <w:rFonts w:cs="Arial"/>
                <w:b/>
                <w:bCs/>
                <w:color w:val="000000"/>
                <w:sz w:val="18"/>
                <w:szCs w:val="18"/>
              </w:rPr>
            </w:pPr>
            <w:r w:rsidRPr="001F1C96">
              <w:rPr>
                <w:rFonts w:cs="Arial"/>
                <w:b/>
                <w:bCs/>
                <w:color w:val="000000"/>
                <w:sz w:val="18"/>
                <w:szCs w:val="18"/>
              </w:rPr>
              <w:t>£m</w:t>
            </w:r>
          </w:p>
        </w:tc>
        <w:tc>
          <w:tcPr>
            <w:tcW w:w="567" w:type="dxa"/>
            <w:tcBorders>
              <w:top w:val="nil"/>
              <w:left w:val="nil"/>
              <w:bottom w:val="single" w:sz="8" w:space="0" w:color="auto"/>
              <w:right w:val="single" w:sz="8" w:space="0" w:color="auto"/>
            </w:tcBorders>
            <w:shd w:val="clear" w:color="000000" w:fill="DEEAF6"/>
            <w:noWrap/>
            <w:vAlign w:val="center"/>
            <w:hideMark/>
          </w:tcPr>
          <w:p w14:paraId="2D21E6FC" w14:textId="77777777" w:rsidR="00DA5579" w:rsidRPr="001F1C96" w:rsidRDefault="0058317E" w:rsidP="00DA5579">
            <w:pPr>
              <w:rPr>
                <w:rFonts w:cs="Arial"/>
                <w:b/>
                <w:bCs/>
                <w:color w:val="000000"/>
                <w:sz w:val="18"/>
                <w:szCs w:val="18"/>
              </w:rPr>
            </w:pPr>
            <w:r w:rsidRPr="001F1C96">
              <w:rPr>
                <w:rFonts w:cs="Arial"/>
                <w:b/>
                <w:bCs/>
                <w:color w:val="000000"/>
                <w:sz w:val="18"/>
                <w:szCs w:val="18"/>
              </w:rPr>
              <w:t>%</w:t>
            </w:r>
          </w:p>
        </w:tc>
        <w:tc>
          <w:tcPr>
            <w:tcW w:w="1134" w:type="dxa"/>
            <w:tcBorders>
              <w:top w:val="nil"/>
              <w:left w:val="nil"/>
              <w:bottom w:val="single" w:sz="8" w:space="0" w:color="auto"/>
              <w:right w:val="single" w:sz="8" w:space="0" w:color="auto"/>
            </w:tcBorders>
            <w:shd w:val="clear" w:color="000000" w:fill="DEEAF6"/>
            <w:noWrap/>
            <w:vAlign w:val="center"/>
            <w:hideMark/>
          </w:tcPr>
          <w:p w14:paraId="2D21E6FD" w14:textId="77777777" w:rsidR="00DA5579" w:rsidRPr="001F1C96" w:rsidRDefault="0058317E" w:rsidP="00DA5579">
            <w:pPr>
              <w:rPr>
                <w:rFonts w:cs="Arial"/>
                <w:b/>
                <w:bCs/>
                <w:color w:val="000000"/>
                <w:sz w:val="18"/>
                <w:szCs w:val="18"/>
              </w:rPr>
            </w:pPr>
            <w:r w:rsidRPr="001F1C96">
              <w:rPr>
                <w:rFonts w:cs="Arial"/>
                <w:b/>
                <w:bCs/>
                <w:color w:val="000000"/>
                <w:sz w:val="18"/>
                <w:szCs w:val="18"/>
              </w:rPr>
              <w:t>£m</w:t>
            </w:r>
          </w:p>
        </w:tc>
        <w:tc>
          <w:tcPr>
            <w:tcW w:w="1424" w:type="dxa"/>
            <w:tcBorders>
              <w:top w:val="nil"/>
              <w:left w:val="nil"/>
              <w:bottom w:val="single" w:sz="8" w:space="0" w:color="auto"/>
              <w:right w:val="single" w:sz="8" w:space="0" w:color="auto"/>
            </w:tcBorders>
            <w:shd w:val="clear" w:color="000000" w:fill="DEEAF6"/>
            <w:noWrap/>
            <w:vAlign w:val="center"/>
            <w:hideMark/>
          </w:tcPr>
          <w:p w14:paraId="2D21E6FE" w14:textId="77777777" w:rsidR="00DA5579" w:rsidRPr="001F1C96" w:rsidRDefault="0058317E" w:rsidP="00DA5579">
            <w:pPr>
              <w:rPr>
                <w:rFonts w:cs="Arial"/>
                <w:b/>
                <w:bCs/>
                <w:color w:val="000000"/>
                <w:sz w:val="18"/>
                <w:szCs w:val="18"/>
              </w:rPr>
            </w:pPr>
            <w:r w:rsidRPr="001F1C96">
              <w:rPr>
                <w:rFonts w:cs="Arial"/>
                <w:b/>
                <w:bCs/>
                <w:color w:val="000000"/>
                <w:sz w:val="18"/>
                <w:szCs w:val="18"/>
              </w:rPr>
              <w:t>£m</w:t>
            </w:r>
          </w:p>
        </w:tc>
        <w:tc>
          <w:tcPr>
            <w:tcW w:w="1136" w:type="dxa"/>
            <w:tcBorders>
              <w:top w:val="nil"/>
              <w:left w:val="nil"/>
              <w:bottom w:val="single" w:sz="8" w:space="0" w:color="auto"/>
              <w:right w:val="single" w:sz="8" w:space="0" w:color="auto"/>
            </w:tcBorders>
            <w:shd w:val="clear" w:color="000000" w:fill="DEEAF6"/>
            <w:noWrap/>
            <w:vAlign w:val="center"/>
            <w:hideMark/>
          </w:tcPr>
          <w:p w14:paraId="2D21E6FF" w14:textId="77777777" w:rsidR="00DA5579" w:rsidRPr="001F1C96" w:rsidRDefault="0058317E" w:rsidP="00DA5579">
            <w:pPr>
              <w:rPr>
                <w:rFonts w:cs="Arial"/>
                <w:b/>
                <w:bCs/>
                <w:color w:val="000000"/>
                <w:sz w:val="18"/>
                <w:szCs w:val="18"/>
              </w:rPr>
            </w:pPr>
            <w:r w:rsidRPr="001F1C96">
              <w:rPr>
                <w:rFonts w:cs="Arial"/>
                <w:b/>
                <w:bCs/>
                <w:color w:val="000000"/>
                <w:sz w:val="18"/>
                <w:szCs w:val="18"/>
              </w:rPr>
              <w:t>£m</w:t>
            </w:r>
          </w:p>
        </w:tc>
        <w:tc>
          <w:tcPr>
            <w:tcW w:w="708" w:type="dxa"/>
            <w:tcBorders>
              <w:top w:val="nil"/>
              <w:left w:val="nil"/>
              <w:bottom w:val="single" w:sz="8" w:space="0" w:color="auto"/>
              <w:right w:val="single" w:sz="8" w:space="0" w:color="auto"/>
            </w:tcBorders>
            <w:shd w:val="clear" w:color="000000" w:fill="DEEAF6"/>
            <w:noWrap/>
            <w:vAlign w:val="center"/>
            <w:hideMark/>
          </w:tcPr>
          <w:p w14:paraId="2D21E700" w14:textId="77777777" w:rsidR="00DA5579" w:rsidRPr="001F1C96" w:rsidRDefault="0058317E" w:rsidP="00DA5579">
            <w:pPr>
              <w:rPr>
                <w:rFonts w:cs="Arial"/>
                <w:b/>
                <w:bCs/>
                <w:color w:val="000000"/>
                <w:sz w:val="18"/>
                <w:szCs w:val="18"/>
              </w:rPr>
            </w:pPr>
            <w:r w:rsidRPr="001F1C96">
              <w:rPr>
                <w:rFonts w:cs="Arial"/>
                <w:b/>
                <w:bCs/>
                <w:color w:val="000000"/>
                <w:sz w:val="18"/>
                <w:szCs w:val="18"/>
              </w:rPr>
              <w:t>%</w:t>
            </w:r>
          </w:p>
        </w:tc>
      </w:tr>
      <w:tr w:rsidR="006619F2" w14:paraId="2D21E709" w14:textId="77777777" w:rsidTr="00DA5579">
        <w:trPr>
          <w:trHeight w:val="315"/>
        </w:trPr>
        <w:tc>
          <w:tcPr>
            <w:tcW w:w="2835" w:type="dxa"/>
            <w:tcBorders>
              <w:top w:val="nil"/>
              <w:left w:val="nil"/>
              <w:bottom w:val="nil"/>
              <w:right w:val="nil"/>
            </w:tcBorders>
            <w:shd w:val="clear" w:color="auto" w:fill="auto"/>
            <w:noWrap/>
            <w:vAlign w:val="center"/>
            <w:hideMark/>
          </w:tcPr>
          <w:p w14:paraId="2D21E702" w14:textId="77777777" w:rsidR="00DA5579" w:rsidRPr="001F1C96" w:rsidRDefault="0058317E" w:rsidP="00DA5579">
            <w:pPr>
              <w:rPr>
                <w:rFonts w:cs="Arial"/>
                <w:b/>
                <w:bCs/>
                <w:color w:val="000000"/>
                <w:sz w:val="18"/>
                <w:szCs w:val="18"/>
                <w:u w:val="single"/>
              </w:rPr>
            </w:pPr>
            <w:r w:rsidRPr="001F1C96">
              <w:rPr>
                <w:rFonts w:cs="Arial"/>
                <w:b/>
                <w:bCs/>
                <w:color w:val="000000"/>
                <w:sz w:val="18"/>
                <w:szCs w:val="18"/>
                <w:u w:val="single"/>
              </w:rPr>
              <w:t>Fixed Rate Funding</w:t>
            </w:r>
          </w:p>
        </w:tc>
        <w:tc>
          <w:tcPr>
            <w:tcW w:w="1134" w:type="dxa"/>
            <w:tcBorders>
              <w:top w:val="nil"/>
              <w:left w:val="nil"/>
              <w:bottom w:val="nil"/>
              <w:right w:val="nil"/>
            </w:tcBorders>
            <w:shd w:val="clear" w:color="auto" w:fill="auto"/>
            <w:noWrap/>
            <w:vAlign w:val="bottom"/>
            <w:hideMark/>
          </w:tcPr>
          <w:p w14:paraId="2D21E703" w14:textId="77777777" w:rsidR="00DA5579" w:rsidRPr="001F1C96" w:rsidRDefault="003A3CFD" w:rsidP="00DA5579">
            <w:pPr>
              <w:rPr>
                <w:rFonts w:cs="Arial"/>
                <w:b/>
                <w:bCs/>
                <w:color w:val="000000"/>
                <w:sz w:val="18"/>
                <w:szCs w:val="18"/>
                <w:u w:val="single"/>
              </w:rPr>
            </w:pPr>
          </w:p>
        </w:tc>
        <w:tc>
          <w:tcPr>
            <w:tcW w:w="567" w:type="dxa"/>
            <w:tcBorders>
              <w:top w:val="nil"/>
              <w:left w:val="nil"/>
              <w:bottom w:val="nil"/>
              <w:right w:val="nil"/>
            </w:tcBorders>
            <w:shd w:val="clear" w:color="auto" w:fill="auto"/>
            <w:noWrap/>
            <w:vAlign w:val="bottom"/>
            <w:hideMark/>
          </w:tcPr>
          <w:p w14:paraId="2D21E704" w14:textId="77777777" w:rsidR="00DA5579" w:rsidRPr="001F1C96" w:rsidRDefault="003A3CFD" w:rsidP="00DA5579">
            <w:pPr>
              <w:rPr>
                <w:rFonts w:cs="Arial"/>
                <w:sz w:val="18"/>
                <w:szCs w:val="18"/>
              </w:rPr>
            </w:pPr>
          </w:p>
        </w:tc>
        <w:tc>
          <w:tcPr>
            <w:tcW w:w="1134" w:type="dxa"/>
            <w:tcBorders>
              <w:top w:val="nil"/>
              <w:left w:val="nil"/>
              <w:bottom w:val="nil"/>
              <w:right w:val="nil"/>
            </w:tcBorders>
            <w:shd w:val="clear" w:color="auto" w:fill="auto"/>
            <w:noWrap/>
            <w:vAlign w:val="bottom"/>
            <w:hideMark/>
          </w:tcPr>
          <w:p w14:paraId="2D21E705" w14:textId="77777777" w:rsidR="00DA5579" w:rsidRPr="001F1C96" w:rsidRDefault="003A3CFD" w:rsidP="00DA5579">
            <w:pPr>
              <w:rPr>
                <w:rFonts w:cs="Arial"/>
                <w:sz w:val="18"/>
                <w:szCs w:val="18"/>
              </w:rPr>
            </w:pPr>
          </w:p>
        </w:tc>
        <w:tc>
          <w:tcPr>
            <w:tcW w:w="1424" w:type="dxa"/>
            <w:tcBorders>
              <w:top w:val="nil"/>
              <w:left w:val="nil"/>
              <w:bottom w:val="nil"/>
              <w:right w:val="nil"/>
            </w:tcBorders>
            <w:shd w:val="clear" w:color="auto" w:fill="auto"/>
            <w:noWrap/>
            <w:vAlign w:val="bottom"/>
            <w:hideMark/>
          </w:tcPr>
          <w:p w14:paraId="2D21E706" w14:textId="77777777" w:rsidR="00DA5579" w:rsidRPr="001F1C96" w:rsidRDefault="003A3CFD" w:rsidP="00DA5579">
            <w:pPr>
              <w:rPr>
                <w:rFonts w:cs="Arial"/>
                <w:sz w:val="18"/>
                <w:szCs w:val="18"/>
              </w:rPr>
            </w:pPr>
          </w:p>
        </w:tc>
        <w:tc>
          <w:tcPr>
            <w:tcW w:w="1136" w:type="dxa"/>
            <w:tcBorders>
              <w:top w:val="nil"/>
              <w:left w:val="nil"/>
              <w:bottom w:val="nil"/>
              <w:right w:val="nil"/>
            </w:tcBorders>
            <w:shd w:val="clear" w:color="auto" w:fill="auto"/>
            <w:noWrap/>
            <w:vAlign w:val="bottom"/>
            <w:hideMark/>
          </w:tcPr>
          <w:p w14:paraId="2D21E707" w14:textId="77777777" w:rsidR="00DA5579" w:rsidRPr="001F1C96" w:rsidRDefault="003A3CFD" w:rsidP="00DA5579">
            <w:pPr>
              <w:rPr>
                <w:rFonts w:cs="Arial"/>
                <w:sz w:val="18"/>
                <w:szCs w:val="18"/>
              </w:rPr>
            </w:pPr>
          </w:p>
        </w:tc>
        <w:tc>
          <w:tcPr>
            <w:tcW w:w="708" w:type="dxa"/>
            <w:tcBorders>
              <w:top w:val="nil"/>
              <w:left w:val="nil"/>
              <w:bottom w:val="nil"/>
              <w:right w:val="nil"/>
            </w:tcBorders>
            <w:shd w:val="clear" w:color="auto" w:fill="auto"/>
            <w:noWrap/>
            <w:vAlign w:val="bottom"/>
            <w:hideMark/>
          </w:tcPr>
          <w:p w14:paraId="2D21E708" w14:textId="77777777" w:rsidR="00DA5579" w:rsidRPr="001F1C96" w:rsidRDefault="003A3CFD" w:rsidP="00DA5579">
            <w:pPr>
              <w:rPr>
                <w:rFonts w:cs="Arial"/>
                <w:sz w:val="18"/>
                <w:szCs w:val="18"/>
              </w:rPr>
            </w:pPr>
          </w:p>
        </w:tc>
      </w:tr>
      <w:tr w:rsidR="006619F2" w14:paraId="2D21E711" w14:textId="77777777" w:rsidTr="00DA5579">
        <w:trPr>
          <w:trHeight w:val="315"/>
        </w:trPr>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21E70A" w14:textId="77777777" w:rsidR="00DA5579" w:rsidRPr="001F1C96" w:rsidRDefault="0058317E" w:rsidP="00DA5579">
            <w:pPr>
              <w:rPr>
                <w:rFonts w:cs="Arial"/>
                <w:color w:val="000000"/>
                <w:sz w:val="18"/>
                <w:szCs w:val="18"/>
              </w:rPr>
            </w:pPr>
            <w:r w:rsidRPr="001F1C96">
              <w:rPr>
                <w:rFonts w:cs="Arial"/>
                <w:color w:val="000000"/>
                <w:sz w:val="18"/>
                <w:szCs w:val="18"/>
              </w:rPr>
              <w:t>Public Works Loan Board</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2D21E70B" w14:textId="77777777" w:rsidR="00DA5579" w:rsidRPr="001F1C96" w:rsidRDefault="0058317E" w:rsidP="00DA5579">
            <w:pPr>
              <w:jc w:val="right"/>
              <w:rPr>
                <w:rFonts w:cs="Arial"/>
                <w:color w:val="000000"/>
                <w:sz w:val="18"/>
                <w:szCs w:val="18"/>
              </w:rPr>
            </w:pPr>
            <w:r>
              <w:rPr>
                <w:rFonts w:cs="Arial"/>
                <w:color w:val="000000"/>
                <w:sz w:val="18"/>
                <w:szCs w:val="18"/>
              </w:rPr>
              <w:t>235.6</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2D21E70C" w14:textId="77777777" w:rsidR="00DA5579" w:rsidRPr="001F1C96" w:rsidRDefault="0058317E" w:rsidP="00DA5579">
            <w:pPr>
              <w:jc w:val="right"/>
              <w:rPr>
                <w:rFonts w:cs="Arial"/>
                <w:color w:val="000000"/>
                <w:sz w:val="18"/>
                <w:szCs w:val="18"/>
              </w:rPr>
            </w:pPr>
            <w:r w:rsidRPr="001F1C96">
              <w:rPr>
                <w:rFonts w:cs="Arial"/>
                <w:color w:val="000000"/>
                <w:sz w:val="18"/>
                <w:szCs w:val="18"/>
              </w:rPr>
              <w:t>22.</w:t>
            </w:r>
            <w:r>
              <w:rPr>
                <w:rFonts w:cs="Arial"/>
                <w:color w:val="000000"/>
                <w:sz w:val="18"/>
                <w:szCs w:val="18"/>
              </w:rPr>
              <w:t>8</w:t>
            </w:r>
          </w:p>
        </w:tc>
        <w:tc>
          <w:tcPr>
            <w:tcW w:w="1134" w:type="dxa"/>
            <w:tcBorders>
              <w:top w:val="single" w:sz="8" w:space="0" w:color="auto"/>
              <w:left w:val="nil"/>
              <w:bottom w:val="single" w:sz="8" w:space="0" w:color="auto"/>
              <w:right w:val="single" w:sz="8" w:space="0" w:color="auto"/>
            </w:tcBorders>
            <w:shd w:val="clear" w:color="auto" w:fill="auto"/>
            <w:noWrap/>
            <w:vAlign w:val="center"/>
          </w:tcPr>
          <w:p w14:paraId="2D21E70D" w14:textId="77777777" w:rsidR="00DA5579" w:rsidRPr="001F1C96" w:rsidRDefault="0058317E" w:rsidP="00DA5579">
            <w:pPr>
              <w:jc w:val="right"/>
              <w:rPr>
                <w:rFonts w:cs="Arial"/>
                <w:color w:val="000000"/>
                <w:sz w:val="18"/>
                <w:szCs w:val="18"/>
              </w:rPr>
            </w:pPr>
            <w:r>
              <w:rPr>
                <w:rFonts w:cs="Arial"/>
                <w:color w:val="000000"/>
                <w:sz w:val="18"/>
                <w:szCs w:val="18"/>
              </w:rPr>
              <w:t>220.0</w:t>
            </w:r>
          </w:p>
        </w:tc>
        <w:tc>
          <w:tcPr>
            <w:tcW w:w="1424" w:type="dxa"/>
            <w:tcBorders>
              <w:top w:val="single" w:sz="8" w:space="0" w:color="auto"/>
              <w:left w:val="nil"/>
              <w:bottom w:val="single" w:sz="8" w:space="0" w:color="auto"/>
              <w:right w:val="single" w:sz="8" w:space="0" w:color="auto"/>
            </w:tcBorders>
            <w:shd w:val="clear" w:color="auto" w:fill="auto"/>
            <w:noWrap/>
            <w:vAlign w:val="center"/>
          </w:tcPr>
          <w:p w14:paraId="2D21E70E" w14:textId="77777777" w:rsidR="00DA5579" w:rsidRPr="001F1C96" w:rsidRDefault="0058317E" w:rsidP="00DA5579">
            <w:pPr>
              <w:jc w:val="right"/>
              <w:rPr>
                <w:rFonts w:cs="Arial"/>
                <w:color w:val="000000"/>
                <w:sz w:val="18"/>
                <w:szCs w:val="18"/>
              </w:rPr>
            </w:pPr>
            <w:r>
              <w:rPr>
                <w:rFonts w:cs="Arial"/>
                <w:color w:val="000000"/>
                <w:sz w:val="18"/>
                <w:szCs w:val="18"/>
              </w:rPr>
              <w:t>(7.5)</w:t>
            </w:r>
          </w:p>
        </w:tc>
        <w:tc>
          <w:tcPr>
            <w:tcW w:w="1136" w:type="dxa"/>
            <w:tcBorders>
              <w:top w:val="single" w:sz="8" w:space="0" w:color="auto"/>
              <w:left w:val="nil"/>
              <w:bottom w:val="single" w:sz="8" w:space="0" w:color="auto"/>
              <w:right w:val="single" w:sz="8" w:space="0" w:color="auto"/>
            </w:tcBorders>
            <w:shd w:val="clear" w:color="auto" w:fill="auto"/>
            <w:noWrap/>
            <w:vAlign w:val="center"/>
          </w:tcPr>
          <w:p w14:paraId="2D21E70F" w14:textId="77777777" w:rsidR="00DA5579" w:rsidRPr="001F1C96" w:rsidRDefault="0058317E" w:rsidP="00DA5579">
            <w:pPr>
              <w:jc w:val="right"/>
              <w:rPr>
                <w:rFonts w:cs="Arial"/>
                <w:color w:val="000000"/>
                <w:sz w:val="18"/>
                <w:szCs w:val="18"/>
              </w:rPr>
            </w:pPr>
            <w:r>
              <w:rPr>
                <w:rFonts w:cs="Arial"/>
                <w:color w:val="000000"/>
                <w:sz w:val="18"/>
                <w:szCs w:val="18"/>
              </w:rPr>
              <w:t>448.1</w:t>
            </w:r>
          </w:p>
        </w:tc>
        <w:tc>
          <w:tcPr>
            <w:tcW w:w="708" w:type="dxa"/>
            <w:tcBorders>
              <w:top w:val="single" w:sz="8" w:space="0" w:color="auto"/>
              <w:left w:val="nil"/>
              <w:bottom w:val="single" w:sz="8" w:space="0" w:color="auto"/>
              <w:right w:val="single" w:sz="8" w:space="0" w:color="auto"/>
            </w:tcBorders>
            <w:shd w:val="clear" w:color="auto" w:fill="auto"/>
            <w:noWrap/>
            <w:vAlign w:val="center"/>
          </w:tcPr>
          <w:p w14:paraId="2D21E710" w14:textId="77777777" w:rsidR="00DA5579" w:rsidRPr="001F1C96" w:rsidRDefault="0058317E" w:rsidP="00DA5579">
            <w:pPr>
              <w:jc w:val="right"/>
              <w:rPr>
                <w:rFonts w:cs="Arial"/>
                <w:color w:val="000000"/>
                <w:sz w:val="18"/>
                <w:szCs w:val="18"/>
              </w:rPr>
            </w:pPr>
            <w:r>
              <w:rPr>
                <w:rFonts w:cs="Arial"/>
                <w:color w:val="000000"/>
                <w:sz w:val="18"/>
                <w:szCs w:val="18"/>
              </w:rPr>
              <w:t>29.0</w:t>
            </w:r>
          </w:p>
        </w:tc>
      </w:tr>
      <w:tr w:rsidR="006619F2" w14:paraId="2D21E719" w14:textId="77777777" w:rsidTr="00DA557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2D21E712" w14:textId="77777777" w:rsidR="00DA5579" w:rsidRPr="001F1C96" w:rsidRDefault="0058317E" w:rsidP="00DA5579">
            <w:pPr>
              <w:rPr>
                <w:rFonts w:cs="Arial"/>
                <w:color w:val="000000"/>
                <w:sz w:val="18"/>
                <w:szCs w:val="18"/>
              </w:rPr>
            </w:pPr>
            <w:r w:rsidRPr="001F1C96">
              <w:rPr>
                <w:rFonts w:cs="Arial"/>
                <w:color w:val="000000"/>
                <w:sz w:val="18"/>
                <w:szCs w:val="18"/>
              </w:rPr>
              <w:t>Market Borrowing</w:t>
            </w:r>
          </w:p>
        </w:tc>
        <w:tc>
          <w:tcPr>
            <w:tcW w:w="1134" w:type="dxa"/>
            <w:tcBorders>
              <w:top w:val="nil"/>
              <w:left w:val="nil"/>
              <w:bottom w:val="single" w:sz="8" w:space="0" w:color="auto"/>
              <w:right w:val="single" w:sz="8" w:space="0" w:color="auto"/>
            </w:tcBorders>
            <w:shd w:val="clear" w:color="auto" w:fill="auto"/>
            <w:noWrap/>
            <w:vAlign w:val="center"/>
            <w:hideMark/>
          </w:tcPr>
          <w:p w14:paraId="2D21E713" w14:textId="77777777" w:rsidR="00DA5579" w:rsidRPr="001F1C96" w:rsidRDefault="0058317E" w:rsidP="00DA5579">
            <w:pPr>
              <w:jc w:val="right"/>
              <w:rPr>
                <w:rFonts w:cs="Arial"/>
                <w:color w:val="000000"/>
                <w:sz w:val="18"/>
                <w:szCs w:val="18"/>
              </w:rPr>
            </w:pPr>
            <w:r>
              <w:rPr>
                <w:rFonts w:cs="Arial"/>
                <w:color w:val="000000"/>
                <w:sz w:val="18"/>
                <w:szCs w:val="18"/>
              </w:rPr>
              <w:t>602.8</w:t>
            </w:r>
          </w:p>
        </w:tc>
        <w:tc>
          <w:tcPr>
            <w:tcW w:w="567" w:type="dxa"/>
            <w:tcBorders>
              <w:top w:val="nil"/>
              <w:left w:val="nil"/>
              <w:bottom w:val="single" w:sz="8" w:space="0" w:color="auto"/>
              <w:right w:val="single" w:sz="8" w:space="0" w:color="auto"/>
            </w:tcBorders>
            <w:shd w:val="clear" w:color="auto" w:fill="auto"/>
            <w:noWrap/>
            <w:vAlign w:val="center"/>
            <w:hideMark/>
          </w:tcPr>
          <w:p w14:paraId="2D21E714" w14:textId="77777777" w:rsidR="00DA5579" w:rsidRPr="001F1C96" w:rsidRDefault="0058317E" w:rsidP="00DA5579">
            <w:pPr>
              <w:jc w:val="right"/>
              <w:rPr>
                <w:rFonts w:cs="Arial"/>
                <w:color w:val="000000"/>
                <w:sz w:val="18"/>
                <w:szCs w:val="18"/>
              </w:rPr>
            </w:pPr>
            <w:r>
              <w:rPr>
                <w:rFonts w:cs="Arial"/>
                <w:color w:val="000000"/>
                <w:sz w:val="18"/>
                <w:szCs w:val="18"/>
              </w:rPr>
              <w:t>58.3</w:t>
            </w:r>
          </w:p>
        </w:tc>
        <w:tc>
          <w:tcPr>
            <w:tcW w:w="1134" w:type="dxa"/>
            <w:tcBorders>
              <w:top w:val="nil"/>
              <w:left w:val="nil"/>
              <w:bottom w:val="single" w:sz="8" w:space="0" w:color="auto"/>
              <w:right w:val="single" w:sz="8" w:space="0" w:color="auto"/>
            </w:tcBorders>
            <w:shd w:val="clear" w:color="auto" w:fill="auto"/>
            <w:noWrap/>
            <w:vAlign w:val="center"/>
          </w:tcPr>
          <w:p w14:paraId="2D21E715" w14:textId="77777777" w:rsidR="00DA5579" w:rsidRPr="001F1C96" w:rsidRDefault="0058317E" w:rsidP="00DA5579">
            <w:pPr>
              <w:jc w:val="right"/>
              <w:rPr>
                <w:rFonts w:cs="Arial"/>
                <w:color w:val="000000"/>
                <w:sz w:val="18"/>
                <w:szCs w:val="18"/>
              </w:rPr>
            </w:pPr>
            <w:r>
              <w:rPr>
                <w:rFonts w:cs="Arial"/>
                <w:color w:val="000000"/>
                <w:sz w:val="18"/>
                <w:szCs w:val="18"/>
              </w:rPr>
              <w:t>930.8</w:t>
            </w:r>
          </w:p>
        </w:tc>
        <w:tc>
          <w:tcPr>
            <w:tcW w:w="1424" w:type="dxa"/>
            <w:tcBorders>
              <w:top w:val="nil"/>
              <w:left w:val="nil"/>
              <w:bottom w:val="single" w:sz="8" w:space="0" w:color="auto"/>
              <w:right w:val="single" w:sz="8" w:space="0" w:color="auto"/>
            </w:tcBorders>
            <w:shd w:val="clear" w:color="auto" w:fill="auto"/>
            <w:noWrap/>
            <w:vAlign w:val="center"/>
          </w:tcPr>
          <w:p w14:paraId="2D21E716" w14:textId="77777777" w:rsidR="00DA5579" w:rsidRPr="001F1C96" w:rsidRDefault="0058317E" w:rsidP="00DA5579">
            <w:pPr>
              <w:jc w:val="right"/>
              <w:rPr>
                <w:rFonts w:cs="Arial"/>
                <w:color w:val="000000"/>
                <w:sz w:val="18"/>
                <w:szCs w:val="18"/>
              </w:rPr>
            </w:pPr>
            <w:r>
              <w:rPr>
                <w:rFonts w:cs="Arial"/>
                <w:color w:val="000000"/>
                <w:sz w:val="18"/>
                <w:szCs w:val="18"/>
              </w:rPr>
              <w:t>(979.3)</w:t>
            </w:r>
          </w:p>
        </w:tc>
        <w:tc>
          <w:tcPr>
            <w:tcW w:w="1136" w:type="dxa"/>
            <w:tcBorders>
              <w:top w:val="nil"/>
              <w:left w:val="nil"/>
              <w:bottom w:val="single" w:sz="8" w:space="0" w:color="auto"/>
              <w:right w:val="single" w:sz="8" w:space="0" w:color="auto"/>
            </w:tcBorders>
            <w:shd w:val="clear" w:color="auto" w:fill="auto"/>
            <w:noWrap/>
            <w:vAlign w:val="center"/>
          </w:tcPr>
          <w:p w14:paraId="2D21E717" w14:textId="77777777" w:rsidR="00DA5579" w:rsidRPr="001F1C96" w:rsidRDefault="0058317E" w:rsidP="00DA5579">
            <w:pPr>
              <w:jc w:val="right"/>
              <w:rPr>
                <w:rFonts w:cs="Arial"/>
                <w:color w:val="000000"/>
                <w:sz w:val="18"/>
                <w:szCs w:val="18"/>
              </w:rPr>
            </w:pPr>
            <w:r>
              <w:rPr>
                <w:rFonts w:cs="Arial"/>
                <w:color w:val="000000"/>
                <w:sz w:val="18"/>
                <w:szCs w:val="18"/>
              </w:rPr>
              <w:t>554.3</w:t>
            </w:r>
          </w:p>
        </w:tc>
        <w:tc>
          <w:tcPr>
            <w:tcW w:w="708" w:type="dxa"/>
            <w:tcBorders>
              <w:top w:val="nil"/>
              <w:left w:val="nil"/>
              <w:bottom w:val="single" w:sz="8" w:space="0" w:color="auto"/>
              <w:right w:val="single" w:sz="8" w:space="0" w:color="auto"/>
            </w:tcBorders>
            <w:shd w:val="clear" w:color="auto" w:fill="auto"/>
            <w:noWrap/>
            <w:vAlign w:val="center"/>
          </w:tcPr>
          <w:p w14:paraId="2D21E718" w14:textId="77777777" w:rsidR="00DA5579" w:rsidRPr="001F1C96" w:rsidRDefault="0058317E" w:rsidP="00DA5579">
            <w:pPr>
              <w:jc w:val="right"/>
              <w:rPr>
                <w:rFonts w:cs="Arial"/>
                <w:color w:val="000000"/>
                <w:sz w:val="18"/>
                <w:szCs w:val="18"/>
              </w:rPr>
            </w:pPr>
            <w:r>
              <w:rPr>
                <w:rFonts w:cs="Arial"/>
                <w:color w:val="000000"/>
                <w:sz w:val="18"/>
                <w:szCs w:val="18"/>
              </w:rPr>
              <w:t>35.9</w:t>
            </w:r>
          </w:p>
        </w:tc>
      </w:tr>
      <w:tr w:rsidR="006619F2" w14:paraId="2D21E721" w14:textId="77777777" w:rsidTr="00DA5579">
        <w:trPr>
          <w:trHeight w:val="315"/>
        </w:trPr>
        <w:tc>
          <w:tcPr>
            <w:tcW w:w="2835" w:type="dxa"/>
            <w:tcBorders>
              <w:top w:val="nil"/>
              <w:left w:val="single" w:sz="8" w:space="0" w:color="auto"/>
              <w:bottom w:val="single" w:sz="8" w:space="0" w:color="auto"/>
              <w:right w:val="single" w:sz="8" w:space="0" w:color="auto"/>
            </w:tcBorders>
            <w:shd w:val="clear" w:color="000000" w:fill="D9E1F2"/>
            <w:noWrap/>
            <w:vAlign w:val="center"/>
            <w:hideMark/>
          </w:tcPr>
          <w:p w14:paraId="2D21E71A" w14:textId="77777777" w:rsidR="00DA5579" w:rsidRPr="001F1C96" w:rsidRDefault="0058317E" w:rsidP="00DA5579">
            <w:pPr>
              <w:rPr>
                <w:rFonts w:cs="Arial"/>
                <w:b/>
                <w:bCs/>
                <w:color w:val="000000"/>
                <w:sz w:val="18"/>
                <w:szCs w:val="18"/>
              </w:rPr>
            </w:pPr>
            <w:r w:rsidRPr="001F1C96">
              <w:rPr>
                <w:rFonts w:cs="Arial"/>
                <w:b/>
                <w:bCs/>
                <w:color w:val="000000"/>
                <w:sz w:val="18"/>
                <w:szCs w:val="18"/>
              </w:rPr>
              <w:t>Total Fixed Rate Funding </w:t>
            </w:r>
          </w:p>
        </w:tc>
        <w:tc>
          <w:tcPr>
            <w:tcW w:w="1134" w:type="dxa"/>
            <w:tcBorders>
              <w:top w:val="nil"/>
              <w:left w:val="nil"/>
              <w:bottom w:val="single" w:sz="8" w:space="0" w:color="auto"/>
              <w:right w:val="single" w:sz="8" w:space="0" w:color="auto"/>
            </w:tcBorders>
            <w:shd w:val="clear" w:color="000000" w:fill="D9E1F2"/>
            <w:noWrap/>
            <w:vAlign w:val="center"/>
            <w:hideMark/>
          </w:tcPr>
          <w:p w14:paraId="2D21E71B" w14:textId="77777777" w:rsidR="00DA5579" w:rsidRPr="001F1C96" w:rsidRDefault="0058317E" w:rsidP="00DA5579">
            <w:pPr>
              <w:jc w:val="right"/>
              <w:rPr>
                <w:rFonts w:cs="Arial"/>
                <w:b/>
                <w:bCs/>
                <w:color w:val="000000"/>
                <w:sz w:val="18"/>
                <w:szCs w:val="18"/>
              </w:rPr>
            </w:pPr>
            <w:r>
              <w:rPr>
                <w:rFonts w:cs="Arial"/>
                <w:b/>
                <w:bCs/>
                <w:color w:val="000000"/>
                <w:sz w:val="18"/>
                <w:szCs w:val="18"/>
              </w:rPr>
              <w:t>838.4</w:t>
            </w:r>
          </w:p>
        </w:tc>
        <w:tc>
          <w:tcPr>
            <w:tcW w:w="567" w:type="dxa"/>
            <w:tcBorders>
              <w:top w:val="nil"/>
              <w:left w:val="nil"/>
              <w:bottom w:val="single" w:sz="8" w:space="0" w:color="auto"/>
              <w:right w:val="single" w:sz="8" w:space="0" w:color="auto"/>
            </w:tcBorders>
            <w:shd w:val="clear" w:color="000000" w:fill="D9E1F2"/>
            <w:noWrap/>
            <w:vAlign w:val="center"/>
            <w:hideMark/>
          </w:tcPr>
          <w:p w14:paraId="2D21E71C" w14:textId="77777777" w:rsidR="00DA5579" w:rsidRPr="001F1C96" w:rsidRDefault="0058317E" w:rsidP="00DA5579">
            <w:pPr>
              <w:rPr>
                <w:rFonts w:cs="Arial"/>
                <w:b/>
                <w:bCs/>
                <w:color w:val="000000"/>
                <w:sz w:val="18"/>
                <w:szCs w:val="18"/>
              </w:rPr>
            </w:pPr>
            <w:r w:rsidRPr="001F1C96">
              <w:rPr>
                <w:rFonts w:cs="Arial"/>
                <w:b/>
                <w:bCs/>
                <w:color w:val="000000"/>
                <w:sz w:val="18"/>
                <w:szCs w:val="18"/>
              </w:rPr>
              <w:t> </w:t>
            </w:r>
          </w:p>
        </w:tc>
        <w:tc>
          <w:tcPr>
            <w:tcW w:w="1134" w:type="dxa"/>
            <w:tcBorders>
              <w:top w:val="nil"/>
              <w:left w:val="nil"/>
              <w:bottom w:val="single" w:sz="8" w:space="0" w:color="auto"/>
              <w:right w:val="single" w:sz="8" w:space="0" w:color="auto"/>
            </w:tcBorders>
            <w:shd w:val="clear" w:color="000000" w:fill="D9E1F2"/>
            <w:noWrap/>
            <w:vAlign w:val="center"/>
          </w:tcPr>
          <w:p w14:paraId="2D21E71D" w14:textId="77777777" w:rsidR="00DA5579" w:rsidRPr="001F1C96" w:rsidRDefault="0058317E" w:rsidP="00DA5579">
            <w:pPr>
              <w:jc w:val="right"/>
              <w:rPr>
                <w:rFonts w:cs="Arial"/>
                <w:b/>
                <w:bCs/>
                <w:color w:val="000000"/>
                <w:sz w:val="18"/>
                <w:szCs w:val="18"/>
              </w:rPr>
            </w:pPr>
            <w:r>
              <w:rPr>
                <w:rFonts w:cs="Arial"/>
                <w:b/>
                <w:bCs/>
                <w:color w:val="000000"/>
                <w:sz w:val="18"/>
                <w:szCs w:val="18"/>
              </w:rPr>
              <w:t>1,150.8</w:t>
            </w:r>
          </w:p>
        </w:tc>
        <w:tc>
          <w:tcPr>
            <w:tcW w:w="1424" w:type="dxa"/>
            <w:tcBorders>
              <w:top w:val="nil"/>
              <w:left w:val="nil"/>
              <w:bottom w:val="single" w:sz="8" w:space="0" w:color="auto"/>
              <w:right w:val="single" w:sz="8" w:space="0" w:color="auto"/>
            </w:tcBorders>
            <w:shd w:val="clear" w:color="000000" w:fill="D9E1F2"/>
            <w:noWrap/>
            <w:vAlign w:val="center"/>
          </w:tcPr>
          <w:p w14:paraId="2D21E71E" w14:textId="77777777" w:rsidR="00DA5579" w:rsidRPr="001F1C96" w:rsidRDefault="0058317E" w:rsidP="00DA5579">
            <w:pPr>
              <w:jc w:val="right"/>
              <w:rPr>
                <w:rFonts w:cs="Arial"/>
                <w:b/>
                <w:bCs/>
                <w:color w:val="000000"/>
                <w:sz w:val="18"/>
                <w:szCs w:val="18"/>
              </w:rPr>
            </w:pPr>
            <w:r>
              <w:rPr>
                <w:rFonts w:cs="Arial"/>
                <w:b/>
                <w:bCs/>
                <w:color w:val="000000"/>
                <w:sz w:val="18"/>
                <w:szCs w:val="18"/>
              </w:rPr>
              <w:t>(986.8)</w:t>
            </w:r>
          </w:p>
        </w:tc>
        <w:tc>
          <w:tcPr>
            <w:tcW w:w="1136" w:type="dxa"/>
            <w:tcBorders>
              <w:top w:val="nil"/>
              <w:left w:val="nil"/>
              <w:bottom w:val="single" w:sz="8" w:space="0" w:color="auto"/>
              <w:right w:val="single" w:sz="8" w:space="0" w:color="auto"/>
            </w:tcBorders>
            <w:shd w:val="clear" w:color="000000" w:fill="D9E1F2"/>
            <w:noWrap/>
            <w:vAlign w:val="center"/>
          </w:tcPr>
          <w:p w14:paraId="2D21E71F" w14:textId="77777777" w:rsidR="00DA5579" w:rsidRPr="001F1C96" w:rsidRDefault="0058317E" w:rsidP="00DA5579">
            <w:pPr>
              <w:jc w:val="right"/>
              <w:rPr>
                <w:rFonts w:cs="Arial"/>
                <w:b/>
                <w:bCs/>
                <w:color w:val="000000"/>
                <w:sz w:val="18"/>
                <w:szCs w:val="18"/>
              </w:rPr>
            </w:pPr>
            <w:r>
              <w:rPr>
                <w:rFonts w:cs="Arial"/>
                <w:b/>
                <w:bCs/>
                <w:color w:val="000000"/>
                <w:sz w:val="18"/>
                <w:szCs w:val="18"/>
              </w:rPr>
              <w:t>1,002.4</w:t>
            </w:r>
          </w:p>
        </w:tc>
        <w:tc>
          <w:tcPr>
            <w:tcW w:w="708" w:type="dxa"/>
            <w:tcBorders>
              <w:top w:val="nil"/>
              <w:left w:val="nil"/>
              <w:bottom w:val="single" w:sz="8" w:space="0" w:color="auto"/>
              <w:right w:val="single" w:sz="8" w:space="0" w:color="auto"/>
            </w:tcBorders>
            <w:shd w:val="clear" w:color="000000" w:fill="D9E1F2"/>
            <w:noWrap/>
            <w:vAlign w:val="center"/>
          </w:tcPr>
          <w:p w14:paraId="2D21E720" w14:textId="77777777" w:rsidR="00DA5579" w:rsidRPr="001F1C96" w:rsidRDefault="003A3CFD" w:rsidP="00DA5579">
            <w:pPr>
              <w:rPr>
                <w:rFonts w:cs="Arial"/>
                <w:b/>
                <w:bCs/>
                <w:color w:val="000000"/>
                <w:sz w:val="18"/>
                <w:szCs w:val="18"/>
              </w:rPr>
            </w:pPr>
          </w:p>
        </w:tc>
      </w:tr>
      <w:tr w:rsidR="006619F2" w14:paraId="2D21E729" w14:textId="77777777" w:rsidTr="00DA5579">
        <w:trPr>
          <w:trHeight w:val="300"/>
        </w:trPr>
        <w:tc>
          <w:tcPr>
            <w:tcW w:w="2835" w:type="dxa"/>
            <w:tcBorders>
              <w:top w:val="nil"/>
              <w:left w:val="nil"/>
              <w:bottom w:val="nil"/>
              <w:right w:val="nil"/>
            </w:tcBorders>
            <w:shd w:val="clear" w:color="auto" w:fill="auto"/>
            <w:noWrap/>
            <w:vAlign w:val="bottom"/>
            <w:hideMark/>
          </w:tcPr>
          <w:p w14:paraId="2D21E722" w14:textId="77777777" w:rsidR="00DA5579" w:rsidRPr="001F1C96" w:rsidRDefault="003A3CFD" w:rsidP="00DA5579">
            <w:pPr>
              <w:rPr>
                <w:rFonts w:cs="Arial"/>
                <w:b/>
                <w:bCs/>
                <w:color w:val="000000"/>
                <w:sz w:val="18"/>
                <w:szCs w:val="18"/>
              </w:rPr>
            </w:pPr>
          </w:p>
        </w:tc>
        <w:tc>
          <w:tcPr>
            <w:tcW w:w="1134" w:type="dxa"/>
            <w:tcBorders>
              <w:top w:val="nil"/>
              <w:left w:val="nil"/>
              <w:bottom w:val="nil"/>
              <w:right w:val="nil"/>
            </w:tcBorders>
            <w:shd w:val="clear" w:color="auto" w:fill="auto"/>
            <w:noWrap/>
            <w:vAlign w:val="bottom"/>
            <w:hideMark/>
          </w:tcPr>
          <w:p w14:paraId="2D21E723" w14:textId="77777777" w:rsidR="00DA5579" w:rsidRPr="001F1C96" w:rsidRDefault="003A3CFD" w:rsidP="00DA5579">
            <w:pPr>
              <w:rPr>
                <w:rFonts w:cs="Arial"/>
                <w:sz w:val="18"/>
                <w:szCs w:val="18"/>
              </w:rPr>
            </w:pPr>
          </w:p>
        </w:tc>
        <w:tc>
          <w:tcPr>
            <w:tcW w:w="567" w:type="dxa"/>
            <w:tcBorders>
              <w:top w:val="nil"/>
              <w:left w:val="nil"/>
              <w:bottom w:val="nil"/>
              <w:right w:val="nil"/>
            </w:tcBorders>
            <w:shd w:val="clear" w:color="auto" w:fill="auto"/>
            <w:noWrap/>
            <w:vAlign w:val="bottom"/>
            <w:hideMark/>
          </w:tcPr>
          <w:p w14:paraId="2D21E724" w14:textId="77777777" w:rsidR="00DA5579" w:rsidRPr="001F1C96" w:rsidRDefault="003A3CFD" w:rsidP="00DA5579">
            <w:pPr>
              <w:rPr>
                <w:rFonts w:cs="Arial"/>
                <w:sz w:val="18"/>
                <w:szCs w:val="18"/>
              </w:rPr>
            </w:pPr>
          </w:p>
        </w:tc>
        <w:tc>
          <w:tcPr>
            <w:tcW w:w="1134" w:type="dxa"/>
            <w:tcBorders>
              <w:top w:val="nil"/>
              <w:left w:val="nil"/>
              <w:bottom w:val="nil"/>
              <w:right w:val="nil"/>
            </w:tcBorders>
            <w:shd w:val="clear" w:color="auto" w:fill="auto"/>
            <w:noWrap/>
            <w:vAlign w:val="bottom"/>
            <w:hideMark/>
          </w:tcPr>
          <w:p w14:paraId="2D21E725" w14:textId="77777777" w:rsidR="00DA5579" w:rsidRPr="001F1C96" w:rsidRDefault="003A3CFD" w:rsidP="00DA5579">
            <w:pPr>
              <w:rPr>
                <w:rFonts w:cs="Arial"/>
                <w:sz w:val="18"/>
                <w:szCs w:val="18"/>
              </w:rPr>
            </w:pPr>
          </w:p>
        </w:tc>
        <w:tc>
          <w:tcPr>
            <w:tcW w:w="1424" w:type="dxa"/>
            <w:tcBorders>
              <w:top w:val="nil"/>
              <w:left w:val="nil"/>
              <w:bottom w:val="nil"/>
              <w:right w:val="nil"/>
            </w:tcBorders>
            <w:shd w:val="clear" w:color="auto" w:fill="auto"/>
            <w:noWrap/>
            <w:vAlign w:val="bottom"/>
            <w:hideMark/>
          </w:tcPr>
          <w:p w14:paraId="2D21E726" w14:textId="77777777" w:rsidR="00DA5579" w:rsidRPr="001F1C96" w:rsidRDefault="003A3CFD" w:rsidP="00DA5579">
            <w:pPr>
              <w:rPr>
                <w:rFonts w:cs="Arial"/>
                <w:sz w:val="18"/>
                <w:szCs w:val="18"/>
              </w:rPr>
            </w:pPr>
          </w:p>
        </w:tc>
        <w:tc>
          <w:tcPr>
            <w:tcW w:w="1136" w:type="dxa"/>
            <w:tcBorders>
              <w:top w:val="nil"/>
              <w:left w:val="nil"/>
              <w:bottom w:val="nil"/>
              <w:right w:val="nil"/>
            </w:tcBorders>
            <w:shd w:val="clear" w:color="auto" w:fill="auto"/>
            <w:noWrap/>
            <w:vAlign w:val="bottom"/>
            <w:hideMark/>
          </w:tcPr>
          <w:p w14:paraId="2D21E727" w14:textId="77777777" w:rsidR="00DA5579" w:rsidRPr="001F1C96" w:rsidRDefault="003A3CFD" w:rsidP="00DA5579">
            <w:pPr>
              <w:rPr>
                <w:rFonts w:cs="Arial"/>
                <w:sz w:val="18"/>
                <w:szCs w:val="18"/>
              </w:rPr>
            </w:pPr>
          </w:p>
        </w:tc>
        <w:tc>
          <w:tcPr>
            <w:tcW w:w="708" w:type="dxa"/>
            <w:tcBorders>
              <w:top w:val="nil"/>
              <w:left w:val="nil"/>
              <w:bottom w:val="nil"/>
              <w:right w:val="nil"/>
            </w:tcBorders>
            <w:shd w:val="clear" w:color="auto" w:fill="auto"/>
            <w:noWrap/>
            <w:vAlign w:val="bottom"/>
            <w:hideMark/>
          </w:tcPr>
          <w:p w14:paraId="2D21E728" w14:textId="77777777" w:rsidR="00DA5579" w:rsidRPr="001F1C96" w:rsidRDefault="003A3CFD" w:rsidP="00DA5579">
            <w:pPr>
              <w:rPr>
                <w:rFonts w:cs="Arial"/>
                <w:sz w:val="18"/>
                <w:szCs w:val="18"/>
              </w:rPr>
            </w:pPr>
          </w:p>
        </w:tc>
      </w:tr>
      <w:tr w:rsidR="006619F2" w14:paraId="2D21E731" w14:textId="77777777" w:rsidTr="00DA5579">
        <w:trPr>
          <w:trHeight w:val="315"/>
        </w:trPr>
        <w:tc>
          <w:tcPr>
            <w:tcW w:w="2835" w:type="dxa"/>
            <w:tcBorders>
              <w:top w:val="nil"/>
              <w:left w:val="nil"/>
              <w:bottom w:val="nil"/>
              <w:right w:val="nil"/>
            </w:tcBorders>
            <w:shd w:val="clear" w:color="auto" w:fill="auto"/>
            <w:noWrap/>
            <w:vAlign w:val="center"/>
            <w:hideMark/>
          </w:tcPr>
          <w:p w14:paraId="2D21E72A" w14:textId="77777777" w:rsidR="00DA5579" w:rsidRPr="001F1C96" w:rsidRDefault="0058317E" w:rsidP="00DA5579">
            <w:pPr>
              <w:rPr>
                <w:rFonts w:cs="Arial"/>
                <w:b/>
                <w:bCs/>
                <w:color w:val="000000"/>
                <w:sz w:val="18"/>
                <w:szCs w:val="18"/>
                <w:u w:val="single"/>
              </w:rPr>
            </w:pPr>
            <w:r w:rsidRPr="001F1C96">
              <w:rPr>
                <w:rFonts w:cs="Arial"/>
                <w:b/>
                <w:bCs/>
                <w:color w:val="000000"/>
                <w:sz w:val="18"/>
                <w:szCs w:val="18"/>
                <w:u w:val="single"/>
              </w:rPr>
              <w:t>Variable Rate Funding</w:t>
            </w:r>
          </w:p>
        </w:tc>
        <w:tc>
          <w:tcPr>
            <w:tcW w:w="1134" w:type="dxa"/>
            <w:tcBorders>
              <w:top w:val="nil"/>
              <w:left w:val="nil"/>
              <w:bottom w:val="nil"/>
              <w:right w:val="nil"/>
            </w:tcBorders>
            <w:shd w:val="clear" w:color="auto" w:fill="auto"/>
            <w:noWrap/>
            <w:vAlign w:val="bottom"/>
            <w:hideMark/>
          </w:tcPr>
          <w:p w14:paraId="2D21E72B" w14:textId="77777777" w:rsidR="00DA5579" w:rsidRPr="001F1C96" w:rsidRDefault="003A3CFD" w:rsidP="00DA5579">
            <w:pPr>
              <w:rPr>
                <w:rFonts w:cs="Arial"/>
                <w:b/>
                <w:bCs/>
                <w:color w:val="000000"/>
                <w:sz w:val="18"/>
                <w:szCs w:val="18"/>
                <w:u w:val="single"/>
              </w:rPr>
            </w:pPr>
          </w:p>
        </w:tc>
        <w:tc>
          <w:tcPr>
            <w:tcW w:w="567" w:type="dxa"/>
            <w:tcBorders>
              <w:top w:val="nil"/>
              <w:left w:val="nil"/>
              <w:bottom w:val="nil"/>
              <w:right w:val="nil"/>
            </w:tcBorders>
            <w:shd w:val="clear" w:color="auto" w:fill="auto"/>
            <w:noWrap/>
            <w:vAlign w:val="bottom"/>
            <w:hideMark/>
          </w:tcPr>
          <w:p w14:paraId="2D21E72C" w14:textId="77777777" w:rsidR="00DA5579" w:rsidRPr="001F1C96" w:rsidRDefault="003A3CFD" w:rsidP="00DA5579">
            <w:pPr>
              <w:rPr>
                <w:rFonts w:cs="Arial"/>
                <w:sz w:val="18"/>
                <w:szCs w:val="18"/>
              </w:rPr>
            </w:pPr>
          </w:p>
        </w:tc>
        <w:tc>
          <w:tcPr>
            <w:tcW w:w="1134" w:type="dxa"/>
            <w:tcBorders>
              <w:top w:val="nil"/>
              <w:left w:val="nil"/>
              <w:bottom w:val="nil"/>
              <w:right w:val="nil"/>
            </w:tcBorders>
            <w:shd w:val="clear" w:color="auto" w:fill="auto"/>
            <w:noWrap/>
            <w:vAlign w:val="bottom"/>
            <w:hideMark/>
          </w:tcPr>
          <w:p w14:paraId="2D21E72D" w14:textId="77777777" w:rsidR="00DA5579" w:rsidRPr="001F1C96" w:rsidRDefault="003A3CFD" w:rsidP="00DA5579">
            <w:pPr>
              <w:rPr>
                <w:rFonts w:cs="Arial"/>
                <w:sz w:val="18"/>
                <w:szCs w:val="18"/>
              </w:rPr>
            </w:pPr>
          </w:p>
        </w:tc>
        <w:tc>
          <w:tcPr>
            <w:tcW w:w="1424" w:type="dxa"/>
            <w:tcBorders>
              <w:top w:val="nil"/>
              <w:left w:val="nil"/>
              <w:bottom w:val="nil"/>
              <w:right w:val="nil"/>
            </w:tcBorders>
            <w:shd w:val="clear" w:color="auto" w:fill="auto"/>
            <w:noWrap/>
            <w:vAlign w:val="bottom"/>
            <w:hideMark/>
          </w:tcPr>
          <w:p w14:paraId="2D21E72E" w14:textId="77777777" w:rsidR="00DA5579" w:rsidRPr="001F1C96" w:rsidRDefault="003A3CFD" w:rsidP="00DA5579">
            <w:pPr>
              <w:rPr>
                <w:rFonts w:cs="Arial"/>
                <w:sz w:val="18"/>
                <w:szCs w:val="18"/>
              </w:rPr>
            </w:pPr>
          </w:p>
        </w:tc>
        <w:tc>
          <w:tcPr>
            <w:tcW w:w="1136" w:type="dxa"/>
            <w:tcBorders>
              <w:top w:val="nil"/>
              <w:left w:val="nil"/>
              <w:bottom w:val="nil"/>
              <w:right w:val="nil"/>
            </w:tcBorders>
            <w:shd w:val="clear" w:color="auto" w:fill="auto"/>
            <w:noWrap/>
            <w:vAlign w:val="bottom"/>
            <w:hideMark/>
          </w:tcPr>
          <w:p w14:paraId="2D21E72F" w14:textId="77777777" w:rsidR="00DA5579" w:rsidRPr="001F1C96" w:rsidRDefault="003A3CFD" w:rsidP="00DA5579">
            <w:pPr>
              <w:rPr>
                <w:rFonts w:cs="Arial"/>
                <w:sz w:val="18"/>
                <w:szCs w:val="18"/>
              </w:rPr>
            </w:pPr>
          </w:p>
        </w:tc>
        <w:tc>
          <w:tcPr>
            <w:tcW w:w="708" w:type="dxa"/>
            <w:tcBorders>
              <w:top w:val="nil"/>
              <w:left w:val="nil"/>
              <w:bottom w:val="nil"/>
              <w:right w:val="nil"/>
            </w:tcBorders>
            <w:shd w:val="clear" w:color="auto" w:fill="auto"/>
            <w:noWrap/>
            <w:vAlign w:val="bottom"/>
            <w:hideMark/>
          </w:tcPr>
          <w:p w14:paraId="2D21E730" w14:textId="77777777" w:rsidR="00DA5579" w:rsidRPr="001F1C96" w:rsidRDefault="003A3CFD" w:rsidP="00DA5579">
            <w:pPr>
              <w:rPr>
                <w:rFonts w:cs="Arial"/>
                <w:sz w:val="18"/>
                <w:szCs w:val="18"/>
              </w:rPr>
            </w:pPr>
          </w:p>
        </w:tc>
      </w:tr>
      <w:tr w:rsidR="006619F2" w14:paraId="2D21E739" w14:textId="77777777" w:rsidTr="00DA5579">
        <w:trPr>
          <w:trHeight w:val="315"/>
        </w:trPr>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21E732" w14:textId="77777777" w:rsidR="00DA5579" w:rsidRPr="001F1C96" w:rsidRDefault="0058317E" w:rsidP="00DA5579">
            <w:pPr>
              <w:rPr>
                <w:rFonts w:cs="Arial"/>
                <w:color w:val="000000"/>
                <w:sz w:val="18"/>
                <w:szCs w:val="18"/>
              </w:rPr>
            </w:pPr>
            <w:r w:rsidRPr="001F1C96">
              <w:rPr>
                <w:rFonts w:cs="Arial"/>
                <w:color w:val="000000"/>
                <w:sz w:val="18"/>
                <w:szCs w:val="18"/>
              </w:rPr>
              <w:t>Public Works Loan Board</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2D21E733" w14:textId="77777777" w:rsidR="00DA5579" w:rsidRPr="001F1C96" w:rsidRDefault="0058317E" w:rsidP="00DA5579">
            <w:pPr>
              <w:jc w:val="right"/>
              <w:rPr>
                <w:rFonts w:cs="Arial"/>
                <w:color w:val="000000"/>
                <w:sz w:val="18"/>
                <w:szCs w:val="18"/>
              </w:rPr>
            </w:pPr>
            <w:r w:rsidRPr="001F1C96">
              <w:rPr>
                <w:rFonts w:cs="Arial"/>
                <w:color w:val="000000"/>
                <w:sz w:val="18"/>
                <w:szCs w:val="18"/>
              </w:rPr>
              <w:t>125.</w:t>
            </w:r>
            <w:r>
              <w:rPr>
                <w:rFonts w:cs="Arial"/>
                <w:color w:val="000000"/>
                <w:sz w:val="18"/>
                <w:szCs w:val="18"/>
              </w:rPr>
              <w:t>8</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2D21E734" w14:textId="77777777" w:rsidR="00DA5579" w:rsidRPr="001F1C96" w:rsidRDefault="0058317E" w:rsidP="00DA5579">
            <w:pPr>
              <w:jc w:val="right"/>
              <w:rPr>
                <w:rFonts w:cs="Arial"/>
                <w:color w:val="000000"/>
                <w:sz w:val="18"/>
                <w:szCs w:val="18"/>
              </w:rPr>
            </w:pPr>
            <w:r>
              <w:rPr>
                <w:rFonts w:cs="Arial"/>
                <w:color w:val="000000"/>
                <w:sz w:val="18"/>
                <w:szCs w:val="18"/>
              </w:rPr>
              <w:t>12.1</w:t>
            </w:r>
          </w:p>
        </w:tc>
        <w:tc>
          <w:tcPr>
            <w:tcW w:w="1134" w:type="dxa"/>
            <w:tcBorders>
              <w:top w:val="single" w:sz="8" w:space="0" w:color="auto"/>
              <w:left w:val="nil"/>
              <w:bottom w:val="single" w:sz="8" w:space="0" w:color="auto"/>
              <w:right w:val="single" w:sz="8" w:space="0" w:color="auto"/>
            </w:tcBorders>
            <w:shd w:val="clear" w:color="auto" w:fill="auto"/>
            <w:noWrap/>
            <w:vAlign w:val="center"/>
          </w:tcPr>
          <w:p w14:paraId="2D21E735" w14:textId="77777777" w:rsidR="00DA5579" w:rsidRPr="001F1C96" w:rsidRDefault="0058317E" w:rsidP="00DA5579">
            <w:pPr>
              <w:jc w:val="right"/>
              <w:rPr>
                <w:rFonts w:cs="Arial"/>
                <w:color w:val="000000"/>
                <w:sz w:val="18"/>
                <w:szCs w:val="18"/>
              </w:rPr>
            </w:pPr>
            <w:r>
              <w:rPr>
                <w:rFonts w:cs="Arial"/>
                <w:color w:val="000000"/>
                <w:sz w:val="18"/>
                <w:szCs w:val="18"/>
              </w:rPr>
              <w:t>0.0</w:t>
            </w:r>
          </w:p>
        </w:tc>
        <w:tc>
          <w:tcPr>
            <w:tcW w:w="1424" w:type="dxa"/>
            <w:tcBorders>
              <w:top w:val="single" w:sz="8" w:space="0" w:color="auto"/>
              <w:left w:val="nil"/>
              <w:bottom w:val="single" w:sz="8" w:space="0" w:color="auto"/>
              <w:right w:val="single" w:sz="8" w:space="0" w:color="auto"/>
            </w:tcBorders>
            <w:shd w:val="clear" w:color="auto" w:fill="auto"/>
            <w:noWrap/>
            <w:vAlign w:val="center"/>
          </w:tcPr>
          <w:p w14:paraId="2D21E736" w14:textId="77777777" w:rsidR="00DA5579" w:rsidRPr="001F1C96" w:rsidRDefault="0058317E" w:rsidP="00DA5579">
            <w:pPr>
              <w:jc w:val="right"/>
              <w:rPr>
                <w:rFonts w:cs="Arial"/>
                <w:color w:val="000000"/>
                <w:sz w:val="18"/>
                <w:szCs w:val="18"/>
              </w:rPr>
            </w:pPr>
            <w:r>
              <w:rPr>
                <w:rFonts w:cs="Arial"/>
                <w:color w:val="000000"/>
                <w:sz w:val="18"/>
                <w:szCs w:val="18"/>
              </w:rPr>
              <w:t>0.0</w:t>
            </w:r>
          </w:p>
        </w:tc>
        <w:tc>
          <w:tcPr>
            <w:tcW w:w="1136" w:type="dxa"/>
            <w:tcBorders>
              <w:top w:val="single" w:sz="8" w:space="0" w:color="auto"/>
              <w:left w:val="nil"/>
              <w:bottom w:val="single" w:sz="8" w:space="0" w:color="auto"/>
              <w:right w:val="single" w:sz="8" w:space="0" w:color="auto"/>
            </w:tcBorders>
            <w:shd w:val="clear" w:color="auto" w:fill="auto"/>
            <w:noWrap/>
            <w:vAlign w:val="center"/>
          </w:tcPr>
          <w:p w14:paraId="2D21E737" w14:textId="77777777" w:rsidR="00DA5579" w:rsidRPr="001F1C96" w:rsidRDefault="0058317E" w:rsidP="00DA5579">
            <w:pPr>
              <w:jc w:val="right"/>
              <w:rPr>
                <w:rFonts w:cs="Arial"/>
                <w:color w:val="000000"/>
                <w:sz w:val="18"/>
                <w:szCs w:val="18"/>
              </w:rPr>
            </w:pPr>
            <w:r>
              <w:rPr>
                <w:rFonts w:cs="Arial"/>
                <w:color w:val="000000"/>
                <w:sz w:val="18"/>
                <w:szCs w:val="18"/>
              </w:rPr>
              <w:t>125.8</w:t>
            </w:r>
          </w:p>
        </w:tc>
        <w:tc>
          <w:tcPr>
            <w:tcW w:w="708" w:type="dxa"/>
            <w:tcBorders>
              <w:top w:val="single" w:sz="8" w:space="0" w:color="auto"/>
              <w:left w:val="nil"/>
              <w:bottom w:val="single" w:sz="8" w:space="0" w:color="auto"/>
              <w:right w:val="single" w:sz="8" w:space="0" w:color="auto"/>
            </w:tcBorders>
            <w:shd w:val="clear" w:color="auto" w:fill="auto"/>
            <w:noWrap/>
            <w:vAlign w:val="center"/>
          </w:tcPr>
          <w:p w14:paraId="2D21E738" w14:textId="77777777" w:rsidR="00DA5579" w:rsidRPr="001F1C96" w:rsidRDefault="0058317E" w:rsidP="00DA5579">
            <w:pPr>
              <w:jc w:val="right"/>
              <w:rPr>
                <w:rFonts w:cs="Arial"/>
                <w:color w:val="000000"/>
                <w:sz w:val="18"/>
                <w:szCs w:val="18"/>
              </w:rPr>
            </w:pPr>
            <w:r>
              <w:rPr>
                <w:rFonts w:cs="Arial"/>
                <w:color w:val="000000"/>
                <w:sz w:val="18"/>
                <w:szCs w:val="18"/>
              </w:rPr>
              <w:t>8.1</w:t>
            </w:r>
          </w:p>
        </w:tc>
      </w:tr>
      <w:tr w:rsidR="006619F2" w14:paraId="2D21E741" w14:textId="77777777" w:rsidTr="00DA557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2D21E73A" w14:textId="77777777" w:rsidR="00DA5579" w:rsidRPr="001F1C96" w:rsidRDefault="0058317E" w:rsidP="00DA5579">
            <w:pPr>
              <w:rPr>
                <w:rFonts w:cs="Arial"/>
                <w:color w:val="000000"/>
                <w:sz w:val="18"/>
                <w:szCs w:val="18"/>
              </w:rPr>
            </w:pPr>
            <w:r>
              <w:rPr>
                <w:rFonts w:cs="Arial"/>
                <w:color w:val="000000"/>
                <w:sz w:val="18"/>
                <w:szCs w:val="18"/>
              </w:rPr>
              <w:t>Bond</w:t>
            </w:r>
          </w:p>
        </w:tc>
        <w:tc>
          <w:tcPr>
            <w:tcW w:w="1134" w:type="dxa"/>
            <w:tcBorders>
              <w:top w:val="nil"/>
              <w:left w:val="nil"/>
              <w:bottom w:val="single" w:sz="8" w:space="0" w:color="auto"/>
              <w:right w:val="single" w:sz="8" w:space="0" w:color="auto"/>
            </w:tcBorders>
            <w:shd w:val="clear" w:color="auto" w:fill="auto"/>
            <w:noWrap/>
            <w:vAlign w:val="center"/>
            <w:hideMark/>
          </w:tcPr>
          <w:p w14:paraId="2D21E73B" w14:textId="77777777" w:rsidR="00DA5579" w:rsidRPr="001F1C96" w:rsidRDefault="0058317E" w:rsidP="00DA5579">
            <w:pPr>
              <w:jc w:val="right"/>
              <w:rPr>
                <w:rFonts w:cs="Arial"/>
                <w:color w:val="000000"/>
                <w:sz w:val="18"/>
                <w:szCs w:val="18"/>
              </w:rPr>
            </w:pPr>
            <w:r>
              <w:rPr>
                <w:rFonts w:cs="Arial"/>
                <w:color w:val="000000"/>
                <w:sz w:val="18"/>
                <w:szCs w:val="18"/>
              </w:rPr>
              <w:t>0.00</w:t>
            </w:r>
          </w:p>
        </w:tc>
        <w:tc>
          <w:tcPr>
            <w:tcW w:w="567" w:type="dxa"/>
            <w:tcBorders>
              <w:top w:val="nil"/>
              <w:left w:val="nil"/>
              <w:bottom w:val="single" w:sz="8" w:space="0" w:color="auto"/>
              <w:right w:val="single" w:sz="8" w:space="0" w:color="auto"/>
            </w:tcBorders>
            <w:shd w:val="clear" w:color="auto" w:fill="auto"/>
            <w:noWrap/>
            <w:vAlign w:val="center"/>
            <w:hideMark/>
          </w:tcPr>
          <w:p w14:paraId="2D21E73C" w14:textId="77777777" w:rsidR="00DA5579" w:rsidRPr="001F1C96" w:rsidRDefault="0058317E" w:rsidP="00DA5579">
            <w:pPr>
              <w:jc w:val="right"/>
              <w:rPr>
                <w:rFonts w:cs="Arial"/>
                <w:color w:val="000000"/>
                <w:sz w:val="18"/>
                <w:szCs w:val="18"/>
              </w:rPr>
            </w:pPr>
            <w:r>
              <w:rPr>
                <w:rFonts w:cs="Arial"/>
                <w:color w:val="000000"/>
                <w:sz w:val="18"/>
                <w:szCs w:val="18"/>
              </w:rPr>
              <w:t>0.0</w:t>
            </w:r>
          </w:p>
        </w:tc>
        <w:tc>
          <w:tcPr>
            <w:tcW w:w="1134" w:type="dxa"/>
            <w:tcBorders>
              <w:top w:val="nil"/>
              <w:left w:val="nil"/>
              <w:bottom w:val="single" w:sz="8" w:space="0" w:color="auto"/>
              <w:right w:val="single" w:sz="8" w:space="0" w:color="auto"/>
            </w:tcBorders>
            <w:shd w:val="clear" w:color="auto" w:fill="auto"/>
            <w:noWrap/>
            <w:vAlign w:val="center"/>
          </w:tcPr>
          <w:p w14:paraId="2D21E73D" w14:textId="77777777" w:rsidR="00DA5579" w:rsidRPr="001F1C96" w:rsidRDefault="0058317E" w:rsidP="00DA5579">
            <w:pPr>
              <w:jc w:val="right"/>
              <w:rPr>
                <w:rFonts w:cs="Arial"/>
                <w:color w:val="000000"/>
                <w:sz w:val="18"/>
                <w:szCs w:val="18"/>
              </w:rPr>
            </w:pPr>
            <w:r>
              <w:rPr>
                <w:rFonts w:cs="Arial"/>
                <w:color w:val="000000"/>
                <w:sz w:val="18"/>
                <w:szCs w:val="18"/>
              </w:rPr>
              <w:t>350.0</w:t>
            </w:r>
          </w:p>
        </w:tc>
        <w:tc>
          <w:tcPr>
            <w:tcW w:w="1424" w:type="dxa"/>
            <w:tcBorders>
              <w:top w:val="nil"/>
              <w:left w:val="nil"/>
              <w:bottom w:val="single" w:sz="8" w:space="0" w:color="auto"/>
              <w:right w:val="single" w:sz="8" w:space="0" w:color="auto"/>
            </w:tcBorders>
            <w:shd w:val="clear" w:color="auto" w:fill="auto"/>
            <w:noWrap/>
            <w:vAlign w:val="center"/>
          </w:tcPr>
          <w:p w14:paraId="2D21E73E" w14:textId="77777777" w:rsidR="00DA5579" w:rsidRPr="001F1C96" w:rsidRDefault="0058317E" w:rsidP="00DA5579">
            <w:pPr>
              <w:jc w:val="right"/>
              <w:rPr>
                <w:rFonts w:cs="Arial"/>
                <w:color w:val="000000"/>
                <w:sz w:val="18"/>
                <w:szCs w:val="18"/>
              </w:rPr>
            </w:pPr>
            <w:r>
              <w:rPr>
                <w:rFonts w:cs="Arial"/>
                <w:color w:val="000000"/>
                <w:sz w:val="18"/>
                <w:szCs w:val="18"/>
              </w:rPr>
              <w:t>0.0</w:t>
            </w:r>
          </w:p>
        </w:tc>
        <w:tc>
          <w:tcPr>
            <w:tcW w:w="1136" w:type="dxa"/>
            <w:tcBorders>
              <w:top w:val="nil"/>
              <w:left w:val="nil"/>
              <w:bottom w:val="single" w:sz="8" w:space="0" w:color="auto"/>
              <w:right w:val="single" w:sz="8" w:space="0" w:color="auto"/>
            </w:tcBorders>
            <w:shd w:val="clear" w:color="auto" w:fill="auto"/>
            <w:noWrap/>
            <w:vAlign w:val="center"/>
          </w:tcPr>
          <w:p w14:paraId="2D21E73F" w14:textId="77777777" w:rsidR="00DA5579" w:rsidRPr="001F1C96" w:rsidRDefault="0058317E" w:rsidP="00DA5579">
            <w:pPr>
              <w:jc w:val="right"/>
              <w:rPr>
                <w:rFonts w:cs="Arial"/>
                <w:color w:val="000000"/>
                <w:sz w:val="18"/>
                <w:szCs w:val="18"/>
              </w:rPr>
            </w:pPr>
            <w:r>
              <w:rPr>
                <w:rFonts w:cs="Arial"/>
                <w:color w:val="000000"/>
                <w:sz w:val="18"/>
                <w:szCs w:val="18"/>
              </w:rPr>
              <w:t>350.0</w:t>
            </w:r>
          </w:p>
        </w:tc>
        <w:tc>
          <w:tcPr>
            <w:tcW w:w="708" w:type="dxa"/>
            <w:tcBorders>
              <w:top w:val="nil"/>
              <w:left w:val="nil"/>
              <w:bottom w:val="single" w:sz="8" w:space="0" w:color="auto"/>
              <w:right w:val="single" w:sz="8" w:space="0" w:color="auto"/>
            </w:tcBorders>
            <w:shd w:val="clear" w:color="auto" w:fill="auto"/>
            <w:noWrap/>
            <w:vAlign w:val="center"/>
          </w:tcPr>
          <w:p w14:paraId="2D21E740" w14:textId="77777777" w:rsidR="00DA5579" w:rsidRPr="001F1C96" w:rsidRDefault="0058317E" w:rsidP="00DA5579">
            <w:pPr>
              <w:jc w:val="right"/>
              <w:rPr>
                <w:rFonts w:cs="Arial"/>
                <w:color w:val="000000"/>
                <w:sz w:val="18"/>
                <w:szCs w:val="18"/>
              </w:rPr>
            </w:pPr>
            <w:r>
              <w:rPr>
                <w:rFonts w:cs="Arial"/>
                <w:color w:val="000000"/>
                <w:sz w:val="18"/>
                <w:szCs w:val="18"/>
              </w:rPr>
              <w:t>22.6</w:t>
            </w:r>
          </w:p>
        </w:tc>
      </w:tr>
      <w:tr w:rsidR="006619F2" w14:paraId="2D21E749" w14:textId="77777777" w:rsidTr="00DA557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2D21E742" w14:textId="77777777" w:rsidR="00DA5579" w:rsidRPr="001F1C96" w:rsidRDefault="0058317E" w:rsidP="00DA5579">
            <w:pPr>
              <w:rPr>
                <w:rFonts w:cs="Arial"/>
                <w:color w:val="000000"/>
                <w:sz w:val="18"/>
                <w:szCs w:val="18"/>
              </w:rPr>
            </w:pPr>
            <w:r w:rsidRPr="001F1C96">
              <w:rPr>
                <w:rFonts w:cs="Arial"/>
                <w:color w:val="000000"/>
                <w:sz w:val="18"/>
                <w:szCs w:val="18"/>
              </w:rPr>
              <w:t>Shared Investment Scheme</w:t>
            </w:r>
          </w:p>
        </w:tc>
        <w:tc>
          <w:tcPr>
            <w:tcW w:w="1134" w:type="dxa"/>
            <w:tcBorders>
              <w:top w:val="nil"/>
              <w:left w:val="nil"/>
              <w:bottom w:val="single" w:sz="8" w:space="0" w:color="auto"/>
              <w:right w:val="single" w:sz="8" w:space="0" w:color="auto"/>
            </w:tcBorders>
            <w:shd w:val="clear" w:color="auto" w:fill="auto"/>
            <w:noWrap/>
            <w:vAlign w:val="center"/>
            <w:hideMark/>
          </w:tcPr>
          <w:p w14:paraId="2D21E743" w14:textId="77777777" w:rsidR="00DA5579" w:rsidRPr="001F1C96" w:rsidRDefault="0058317E" w:rsidP="00DA5579">
            <w:pPr>
              <w:jc w:val="right"/>
              <w:rPr>
                <w:rFonts w:cs="Arial"/>
                <w:color w:val="000000"/>
                <w:sz w:val="18"/>
                <w:szCs w:val="18"/>
              </w:rPr>
            </w:pPr>
            <w:r>
              <w:rPr>
                <w:rFonts w:cs="Arial"/>
                <w:color w:val="000000"/>
                <w:sz w:val="18"/>
                <w:szCs w:val="18"/>
              </w:rPr>
              <w:t>70.7</w:t>
            </w:r>
          </w:p>
        </w:tc>
        <w:tc>
          <w:tcPr>
            <w:tcW w:w="567" w:type="dxa"/>
            <w:tcBorders>
              <w:top w:val="nil"/>
              <w:left w:val="nil"/>
              <w:bottom w:val="single" w:sz="8" w:space="0" w:color="auto"/>
              <w:right w:val="single" w:sz="8" w:space="0" w:color="auto"/>
            </w:tcBorders>
            <w:shd w:val="clear" w:color="auto" w:fill="auto"/>
            <w:noWrap/>
            <w:vAlign w:val="center"/>
            <w:hideMark/>
          </w:tcPr>
          <w:p w14:paraId="2D21E744" w14:textId="77777777" w:rsidR="00DA5579" w:rsidRPr="001F1C96" w:rsidRDefault="0058317E" w:rsidP="00DA5579">
            <w:pPr>
              <w:jc w:val="right"/>
              <w:rPr>
                <w:rFonts w:cs="Arial"/>
                <w:color w:val="000000"/>
                <w:sz w:val="18"/>
                <w:szCs w:val="18"/>
              </w:rPr>
            </w:pPr>
            <w:r>
              <w:rPr>
                <w:rFonts w:cs="Arial"/>
                <w:color w:val="000000"/>
                <w:sz w:val="18"/>
                <w:szCs w:val="18"/>
              </w:rPr>
              <w:t>6.8</w:t>
            </w:r>
          </w:p>
        </w:tc>
        <w:tc>
          <w:tcPr>
            <w:tcW w:w="1134" w:type="dxa"/>
            <w:tcBorders>
              <w:top w:val="nil"/>
              <w:left w:val="nil"/>
              <w:bottom w:val="single" w:sz="8" w:space="0" w:color="auto"/>
              <w:right w:val="single" w:sz="8" w:space="0" w:color="auto"/>
            </w:tcBorders>
            <w:shd w:val="clear" w:color="auto" w:fill="auto"/>
            <w:noWrap/>
            <w:vAlign w:val="center"/>
          </w:tcPr>
          <w:p w14:paraId="2D21E745" w14:textId="77777777" w:rsidR="00DA5579" w:rsidRPr="001F1C96" w:rsidRDefault="0058317E" w:rsidP="00DA5579">
            <w:pPr>
              <w:jc w:val="right"/>
              <w:rPr>
                <w:rFonts w:cs="Arial"/>
                <w:color w:val="000000"/>
                <w:sz w:val="18"/>
                <w:szCs w:val="18"/>
              </w:rPr>
            </w:pPr>
            <w:r>
              <w:rPr>
                <w:rFonts w:cs="Arial"/>
                <w:color w:val="000000"/>
                <w:sz w:val="18"/>
                <w:szCs w:val="18"/>
              </w:rPr>
              <w:t>515.3</w:t>
            </w:r>
          </w:p>
        </w:tc>
        <w:tc>
          <w:tcPr>
            <w:tcW w:w="1424" w:type="dxa"/>
            <w:tcBorders>
              <w:top w:val="nil"/>
              <w:left w:val="nil"/>
              <w:bottom w:val="single" w:sz="8" w:space="0" w:color="auto"/>
              <w:right w:val="single" w:sz="8" w:space="0" w:color="auto"/>
            </w:tcBorders>
            <w:shd w:val="clear" w:color="auto" w:fill="auto"/>
            <w:noWrap/>
            <w:vAlign w:val="center"/>
          </w:tcPr>
          <w:p w14:paraId="2D21E746" w14:textId="77777777" w:rsidR="00DA5579" w:rsidRPr="001F1C96" w:rsidRDefault="0058317E" w:rsidP="00DA5579">
            <w:pPr>
              <w:jc w:val="right"/>
              <w:rPr>
                <w:rFonts w:cs="Arial"/>
                <w:color w:val="000000"/>
                <w:sz w:val="18"/>
                <w:szCs w:val="18"/>
              </w:rPr>
            </w:pPr>
            <w:r>
              <w:rPr>
                <w:rFonts w:cs="Arial"/>
                <w:color w:val="000000"/>
                <w:sz w:val="18"/>
                <w:szCs w:val="18"/>
              </w:rPr>
              <w:t>(518.8)</w:t>
            </w:r>
          </w:p>
        </w:tc>
        <w:tc>
          <w:tcPr>
            <w:tcW w:w="1136" w:type="dxa"/>
            <w:tcBorders>
              <w:top w:val="nil"/>
              <w:left w:val="nil"/>
              <w:bottom w:val="single" w:sz="8" w:space="0" w:color="auto"/>
              <w:right w:val="single" w:sz="8" w:space="0" w:color="auto"/>
            </w:tcBorders>
            <w:shd w:val="clear" w:color="auto" w:fill="auto"/>
            <w:noWrap/>
            <w:vAlign w:val="center"/>
          </w:tcPr>
          <w:p w14:paraId="2D21E747" w14:textId="77777777" w:rsidR="00DA5579" w:rsidRPr="001F1C96" w:rsidRDefault="0058317E" w:rsidP="00DA5579">
            <w:pPr>
              <w:jc w:val="right"/>
              <w:rPr>
                <w:rFonts w:cs="Arial"/>
                <w:color w:val="000000"/>
                <w:sz w:val="18"/>
                <w:szCs w:val="18"/>
              </w:rPr>
            </w:pPr>
            <w:r>
              <w:rPr>
                <w:rFonts w:cs="Arial"/>
                <w:color w:val="000000"/>
                <w:sz w:val="18"/>
                <w:szCs w:val="18"/>
              </w:rPr>
              <w:t>67.2</w:t>
            </w:r>
          </w:p>
        </w:tc>
        <w:tc>
          <w:tcPr>
            <w:tcW w:w="708" w:type="dxa"/>
            <w:tcBorders>
              <w:top w:val="nil"/>
              <w:left w:val="nil"/>
              <w:bottom w:val="single" w:sz="8" w:space="0" w:color="auto"/>
              <w:right w:val="single" w:sz="8" w:space="0" w:color="auto"/>
            </w:tcBorders>
            <w:shd w:val="clear" w:color="auto" w:fill="auto"/>
            <w:noWrap/>
            <w:vAlign w:val="center"/>
          </w:tcPr>
          <w:p w14:paraId="2D21E748" w14:textId="77777777" w:rsidR="00DA5579" w:rsidRPr="001F1C96" w:rsidRDefault="0058317E" w:rsidP="00DA5579">
            <w:pPr>
              <w:jc w:val="right"/>
              <w:rPr>
                <w:rFonts w:cs="Arial"/>
                <w:color w:val="000000"/>
                <w:sz w:val="18"/>
                <w:szCs w:val="18"/>
              </w:rPr>
            </w:pPr>
            <w:r>
              <w:rPr>
                <w:rFonts w:cs="Arial"/>
                <w:color w:val="000000"/>
                <w:sz w:val="18"/>
                <w:szCs w:val="18"/>
              </w:rPr>
              <w:t>4.4</w:t>
            </w:r>
          </w:p>
        </w:tc>
      </w:tr>
      <w:tr w:rsidR="006619F2" w14:paraId="2D21E751" w14:textId="77777777" w:rsidTr="00DA5579">
        <w:trPr>
          <w:trHeight w:val="315"/>
        </w:trPr>
        <w:tc>
          <w:tcPr>
            <w:tcW w:w="2835" w:type="dxa"/>
            <w:tcBorders>
              <w:top w:val="nil"/>
              <w:left w:val="single" w:sz="8" w:space="0" w:color="auto"/>
              <w:bottom w:val="single" w:sz="8" w:space="0" w:color="auto"/>
              <w:right w:val="single" w:sz="8" w:space="0" w:color="auto"/>
            </w:tcBorders>
            <w:shd w:val="clear" w:color="000000" w:fill="D9E1F2"/>
            <w:noWrap/>
            <w:vAlign w:val="center"/>
            <w:hideMark/>
          </w:tcPr>
          <w:p w14:paraId="2D21E74A" w14:textId="77777777" w:rsidR="00DA5579" w:rsidRPr="001F1C96" w:rsidRDefault="0058317E" w:rsidP="00DA5579">
            <w:pPr>
              <w:rPr>
                <w:rFonts w:cs="Arial"/>
                <w:b/>
                <w:bCs/>
                <w:color w:val="000000"/>
                <w:sz w:val="18"/>
                <w:szCs w:val="18"/>
              </w:rPr>
            </w:pPr>
            <w:r w:rsidRPr="001F1C96">
              <w:rPr>
                <w:rFonts w:cs="Arial"/>
                <w:b/>
                <w:bCs/>
                <w:color w:val="000000"/>
                <w:sz w:val="18"/>
                <w:szCs w:val="18"/>
              </w:rPr>
              <w:t>Total Variable Rate Funding</w:t>
            </w:r>
          </w:p>
        </w:tc>
        <w:tc>
          <w:tcPr>
            <w:tcW w:w="1134" w:type="dxa"/>
            <w:tcBorders>
              <w:top w:val="nil"/>
              <w:left w:val="nil"/>
              <w:bottom w:val="single" w:sz="8" w:space="0" w:color="auto"/>
              <w:right w:val="single" w:sz="8" w:space="0" w:color="auto"/>
            </w:tcBorders>
            <w:shd w:val="clear" w:color="000000" w:fill="D9E1F2"/>
            <w:noWrap/>
            <w:vAlign w:val="center"/>
            <w:hideMark/>
          </w:tcPr>
          <w:p w14:paraId="2D21E74B" w14:textId="77777777" w:rsidR="00DA5579" w:rsidRPr="001F1C96" w:rsidRDefault="0058317E" w:rsidP="00DA5579">
            <w:pPr>
              <w:jc w:val="right"/>
              <w:rPr>
                <w:rFonts w:cs="Arial"/>
                <w:b/>
                <w:bCs/>
                <w:color w:val="000000"/>
                <w:sz w:val="18"/>
                <w:szCs w:val="18"/>
              </w:rPr>
            </w:pPr>
            <w:r>
              <w:rPr>
                <w:rFonts w:cs="Arial"/>
                <w:b/>
                <w:bCs/>
                <w:color w:val="000000"/>
                <w:sz w:val="18"/>
                <w:szCs w:val="18"/>
              </w:rPr>
              <w:t>196.5</w:t>
            </w:r>
          </w:p>
        </w:tc>
        <w:tc>
          <w:tcPr>
            <w:tcW w:w="567" w:type="dxa"/>
            <w:tcBorders>
              <w:top w:val="nil"/>
              <w:left w:val="nil"/>
              <w:bottom w:val="single" w:sz="8" w:space="0" w:color="auto"/>
              <w:right w:val="single" w:sz="8" w:space="0" w:color="auto"/>
            </w:tcBorders>
            <w:shd w:val="clear" w:color="000000" w:fill="D9E1F2"/>
            <w:noWrap/>
            <w:vAlign w:val="center"/>
            <w:hideMark/>
          </w:tcPr>
          <w:p w14:paraId="2D21E74C" w14:textId="77777777" w:rsidR="00DA5579" w:rsidRPr="001F1C96" w:rsidRDefault="0058317E" w:rsidP="00DA5579">
            <w:pPr>
              <w:rPr>
                <w:rFonts w:cs="Arial"/>
                <w:b/>
                <w:bCs/>
                <w:color w:val="000000"/>
                <w:sz w:val="18"/>
                <w:szCs w:val="18"/>
              </w:rPr>
            </w:pPr>
            <w:r w:rsidRPr="001F1C96">
              <w:rPr>
                <w:rFonts w:cs="Arial"/>
                <w:b/>
                <w:bCs/>
                <w:color w:val="000000"/>
                <w:sz w:val="18"/>
                <w:szCs w:val="18"/>
              </w:rPr>
              <w:t> </w:t>
            </w:r>
          </w:p>
        </w:tc>
        <w:tc>
          <w:tcPr>
            <w:tcW w:w="1134" w:type="dxa"/>
            <w:tcBorders>
              <w:top w:val="nil"/>
              <w:left w:val="nil"/>
              <w:bottom w:val="single" w:sz="8" w:space="0" w:color="auto"/>
              <w:right w:val="single" w:sz="8" w:space="0" w:color="auto"/>
            </w:tcBorders>
            <w:shd w:val="clear" w:color="000000" w:fill="D9E1F2"/>
            <w:noWrap/>
            <w:vAlign w:val="center"/>
          </w:tcPr>
          <w:p w14:paraId="2D21E74D" w14:textId="77777777" w:rsidR="00DA5579" w:rsidRPr="001F1C96" w:rsidRDefault="0058317E" w:rsidP="00DA5579">
            <w:pPr>
              <w:jc w:val="right"/>
              <w:rPr>
                <w:rFonts w:cs="Arial"/>
                <w:b/>
                <w:bCs/>
                <w:color w:val="000000"/>
                <w:sz w:val="18"/>
                <w:szCs w:val="18"/>
              </w:rPr>
            </w:pPr>
            <w:r>
              <w:rPr>
                <w:rFonts w:cs="Arial"/>
                <w:b/>
                <w:bCs/>
                <w:color w:val="000000"/>
                <w:sz w:val="18"/>
                <w:szCs w:val="18"/>
              </w:rPr>
              <w:t>865.3</w:t>
            </w:r>
          </w:p>
        </w:tc>
        <w:tc>
          <w:tcPr>
            <w:tcW w:w="1424" w:type="dxa"/>
            <w:tcBorders>
              <w:top w:val="nil"/>
              <w:left w:val="nil"/>
              <w:bottom w:val="single" w:sz="8" w:space="0" w:color="auto"/>
              <w:right w:val="single" w:sz="8" w:space="0" w:color="auto"/>
            </w:tcBorders>
            <w:shd w:val="clear" w:color="000000" w:fill="D9E1F2"/>
            <w:noWrap/>
            <w:vAlign w:val="center"/>
          </w:tcPr>
          <w:p w14:paraId="2D21E74E" w14:textId="77777777" w:rsidR="00DA5579" w:rsidRPr="001F1C96" w:rsidRDefault="0058317E" w:rsidP="00DA5579">
            <w:pPr>
              <w:jc w:val="right"/>
              <w:rPr>
                <w:rFonts w:cs="Arial"/>
                <w:b/>
                <w:bCs/>
                <w:color w:val="000000"/>
                <w:sz w:val="18"/>
                <w:szCs w:val="18"/>
              </w:rPr>
            </w:pPr>
            <w:r>
              <w:rPr>
                <w:rFonts w:cs="Arial"/>
                <w:b/>
                <w:bCs/>
                <w:color w:val="000000"/>
                <w:sz w:val="18"/>
                <w:szCs w:val="18"/>
              </w:rPr>
              <w:t>(518.8)</w:t>
            </w:r>
          </w:p>
        </w:tc>
        <w:tc>
          <w:tcPr>
            <w:tcW w:w="1136" w:type="dxa"/>
            <w:tcBorders>
              <w:top w:val="nil"/>
              <w:left w:val="nil"/>
              <w:bottom w:val="single" w:sz="8" w:space="0" w:color="auto"/>
              <w:right w:val="single" w:sz="8" w:space="0" w:color="auto"/>
            </w:tcBorders>
            <w:shd w:val="clear" w:color="000000" w:fill="D9E1F2"/>
            <w:noWrap/>
            <w:vAlign w:val="center"/>
          </w:tcPr>
          <w:p w14:paraId="2D21E74F" w14:textId="77777777" w:rsidR="00DA5579" w:rsidRPr="001F1C96" w:rsidRDefault="0058317E" w:rsidP="00DA5579">
            <w:pPr>
              <w:jc w:val="right"/>
              <w:rPr>
                <w:rFonts w:cs="Arial"/>
                <w:b/>
                <w:bCs/>
                <w:color w:val="000000"/>
                <w:sz w:val="18"/>
                <w:szCs w:val="18"/>
              </w:rPr>
            </w:pPr>
            <w:r>
              <w:rPr>
                <w:rFonts w:cs="Arial"/>
                <w:b/>
                <w:bCs/>
                <w:color w:val="000000"/>
                <w:sz w:val="18"/>
                <w:szCs w:val="18"/>
              </w:rPr>
              <w:t>543.0</w:t>
            </w:r>
          </w:p>
        </w:tc>
        <w:tc>
          <w:tcPr>
            <w:tcW w:w="708" w:type="dxa"/>
            <w:tcBorders>
              <w:top w:val="nil"/>
              <w:left w:val="nil"/>
              <w:bottom w:val="single" w:sz="8" w:space="0" w:color="auto"/>
              <w:right w:val="single" w:sz="8" w:space="0" w:color="auto"/>
            </w:tcBorders>
            <w:shd w:val="clear" w:color="000000" w:fill="D9E1F2"/>
            <w:noWrap/>
            <w:vAlign w:val="center"/>
          </w:tcPr>
          <w:p w14:paraId="2D21E750" w14:textId="77777777" w:rsidR="00DA5579" w:rsidRPr="001F1C96" w:rsidRDefault="003A3CFD" w:rsidP="00DA5579">
            <w:pPr>
              <w:rPr>
                <w:rFonts w:cs="Arial"/>
                <w:b/>
                <w:bCs/>
                <w:color w:val="000000"/>
                <w:sz w:val="18"/>
                <w:szCs w:val="18"/>
              </w:rPr>
            </w:pPr>
          </w:p>
        </w:tc>
      </w:tr>
      <w:tr w:rsidR="006619F2" w14:paraId="2D21E759" w14:textId="77777777" w:rsidTr="00DA5579">
        <w:trPr>
          <w:trHeight w:val="315"/>
        </w:trPr>
        <w:tc>
          <w:tcPr>
            <w:tcW w:w="2835" w:type="dxa"/>
            <w:tcBorders>
              <w:top w:val="nil"/>
              <w:left w:val="nil"/>
              <w:bottom w:val="nil"/>
              <w:right w:val="nil"/>
            </w:tcBorders>
            <w:shd w:val="clear" w:color="auto" w:fill="auto"/>
            <w:noWrap/>
            <w:vAlign w:val="bottom"/>
            <w:hideMark/>
          </w:tcPr>
          <w:p w14:paraId="2D21E752" w14:textId="77777777" w:rsidR="00DA5579" w:rsidRPr="001F1C96" w:rsidRDefault="003A3CFD" w:rsidP="00DA5579">
            <w:pPr>
              <w:rPr>
                <w:rFonts w:cs="Arial"/>
                <w:b/>
                <w:bCs/>
                <w:color w:val="000000"/>
                <w:sz w:val="18"/>
                <w:szCs w:val="18"/>
              </w:rPr>
            </w:pPr>
          </w:p>
        </w:tc>
        <w:tc>
          <w:tcPr>
            <w:tcW w:w="1134" w:type="dxa"/>
            <w:tcBorders>
              <w:top w:val="nil"/>
              <w:left w:val="nil"/>
              <w:bottom w:val="nil"/>
              <w:right w:val="nil"/>
            </w:tcBorders>
            <w:shd w:val="clear" w:color="auto" w:fill="auto"/>
            <w:noWrap/>
            <w:vAlign w:val="bottom"/>
            <w:hideMark/>
          </w:tcPr>
          <w:p w14:paraId="2D21E753" w14:textId="77777777" w:rsidR="00DA5579" w:rsidRPr="001F1C96" w:rsidRDefault="003A3CFD" w:rsidP="00DA5579">
            <w:pPr>
              <w:rPr>
                <w:rFonts w:cs="Arial"/>
                <w:sz w:val="18"/>
                <w:szCs w:val="18"/>
              </w:rPr>
            </w:pPr>
          </w:p>
        </w:tc>
        <w:tc>
          <w:tcPr>
            <w:tcW w:w="567" w:type="dxa"/>
            <w:tcBorders>
              <w:top w:val="nil"/>
              <w:left w:val="nil"/>
              <w:bottom w:val="nil"/>
              <w:right w:val="nil"/>
            </w:tcBorders>
            <w:shd w:val="clear" w:color="auto" w:fill="auto"/>
            <w:noWrap/>
            <w:vAlign w:val="bottom"/>
            <w:hideMark/>
          </w:tcPr>
          <w:p w14:paraId="2D21E754" w14:textId="77777777" w:rsidR="00DA5579" w:rsidRPr="001F1C96" w:rsidRDefault="003A3CFD" w:rsidP="00DA5579">
            <w:pPr>
              <w:rPr>
                <w:rFonts w:cs="Arial"/>
                <w:sz w:val="18"/>
                <w:szCs w:val="18"/>
              </w:rPr>
            </w:pPr>
          </w:p>
        </w:tc>
        <w:tc>
          <w:tcPr>
            <w:tcW w:w="1134" w:type="dxa"/>
            <w:tcBorders>
              <w:top w:val="nil"/>
              <w:left w:val="nil"/>
              <w:bottom w:val="nil"/>
              <w:right w:val="nil"/>
            </w:tcBorders>
            <w:shd w:val="clear" w:color="auto" w:fill="auto"/>
            <w:noWrap/>
            <w:vAlign w:val="bottom"/>
            <w:hideMark/>
          </w:tcPr>
          <w:p w14:paraId="2D21E755" w14:textId="77777777" w:rsidR="00DA5579" w:rsidRPr="001F1C96" w:rsidRDefault="003A3CFD" w:rsidP="00DA5579">
            <w:pPr>
              <w:rPr>
                <w:rFonts w:cs="Arial"/>
                <w:sz w:val="18"/>
                <w:szCs w:val="18"/>
              </w:rPr>
            </w:pPr>
          </w:p>
        </w:tc>
        <w:tc>
          <w:tcPr>
            <w:tcW w:w="1424" w:type="dxa"/>
            <w:tcBorders>
              <w:top w:val="nil"/>
              <w:left w:val="nil"/>
              <w:bottom w:val="nil"/>
              <w:right w:val="nil"/>
            </w:tcBorders>
            <w:shd w:val="clear" w:color="auto" w:fill="auto"/>
            <w:noWrap/>
            <w:vAlign w:val="bottom"/>
            <w:hideMark/>
          </w:tcPr>
          <w:p w14:paraId="2D21E756" w14:textId="77777777" w:rsidR="00DA5579" w:rsidRPr="001F1C96" w:rsidRDefault="003A3CFD" w:rsidP="00DA5579">
            <w:pPr>
              <w:rPr>
                <w:rFonts w:cs="Arial"/>
                <w:sz w:val="18"/>
                <w:szCs w:val="18"/>
              </w:rPr>
            </w:pPr>
          </w:p>
        </w:tc>
        <w:tc>
          <w:tcPr>
            <w:tcW w:w="1136" w:type="dxa"/>
            <w:tcBorders>
              <w:top w:val="nil"/>
              <w:left w:val="nil"/>
              <w:bottom w:val="nil"/>
              <w:right w:val="nil"/>
            </w:tcBorders>
            <w:shd w:val="clear" w:color="auto" w:fill="auto"/>
            <w:noWrap/>
            <w:vAlign w:val="bottom"/>
            <w:hideMark/>
          </w:tcPr>
          <w:p w14:paraId="2D21E757" w14:textId="77777777" w:rsidR="00DA5579" w:rsidRPr="001F1C96" w:rsidRDefault="003A3CFD" w:rsidP="00DA5579">
            <w:pPr>
              <w:rPr>
                <w:rFonts w:cs="Arial"/>
                <w:sz w:val="18"/>
                <w:szCs w:val="18"/>
              </w:rPr>
            </w:pPr>
          </w:p>
        </w:tc>
        <w:tc>
          <w:tcPr>
            <w:tcW w:w="708" w:type="dxa"/>
            <w:tcBorders>
              <w:top w:val="nil"/>
              <w:left w:val="nil"/>
              <w:bottom w:val="nil"/>
              <w:right w:val="nil"/>
            </w:tcBorders>
            <w:shd w:val="clear" w:color="auto" w:fill="auto"/>
            <w:noWrap/>
            <w:vAlign w:val="bottom"/>
            <w:hideMark/>
          </w:tcPr>
          <w:p w14:paraId="2D21E758" w14:textId="77777777" w:rsidR="00DA5579" w:rsidRPr="001F1C96" w:rsidRDefault="003A3CFD" w:rsidP="00DA5579">
            <w:pPr>
              <w:rPr>
                <w:rFonts w:cs="Arial"/>
                <w:sz w:val="18"/>
                <w:szCs w:val="18"/>
              </w:rPr>
            </w:pPr>
          </w:p>
        </w:tc>
      </w:tr>
      <w:tr w:rsidR="006619F2" w14:paraId="2D21E761" w14:textId="77777777" w:rsidTr="00DA5579">
        <w:trPr>
          <w:trHeight w:val="315"/>
        </w:trPr>
        <w:tc>
          <w:tcPr>
            <w:tcW w:w="2835" w:type="dxa"/>
            <w:tcBorders>
              <w:top w:val="single" w:sz="8" w:space="0" w:color="auto"/>
              <w:left w:val="single" w:sz="8" w:space="0" w:color="auto"/>
              <w:bottom w:val="single" w:sz="8" w:space="0" w:color="auto"/>
              <w:right w:val="single" w:sz="8" w:space="0" w:color="auto"/>
            </w:tcBorders>
            <w:shd w:val="clear" w:color="000000" w:fill="D9E1F2"/>
            <w:noWrap/>
            <w:vAlign w:val="center"/>
            <w:hideMark/>
          </w:tcPr>
          <w:p w14:paraId="2D21E75A" w14:textId="77777777" w:rsidR="00DA5579" w:rsidRPr="001F1C96" w:rsidRDefault="0058317E" w:rsidP="00DA5579">
            <w:pPr>
              <w:rPr>
                <w:rFonts w:cs="Arial"/>
                <w:b/>
                <w:bCs/>
                <w:color w:val="000000"/>
                <w:sz w:val="18"/>
                <w:szCs w:val="18"/>
              </w:rPr>
            </w:pPr>
            <w:r w:rsidRPr="001F1C96">
              <w:rPr>
                <w:rFonts w:cs="Arial"/>
                <w:b/>
                <w:bCs/>
                <w:color w:val="000000"/>
                <w:sz w:val="18"/>
                <w:szCs w:val="18"/>
              </w:rPr>
              <w:t>Total Loan Debt</w:t>
            </w:r>
          </w:p>
        </w:tc>
        <w:tc>
          <w:tcPr>
            <w:tcW w:w="1134" w:type="dxa"/>
            <w:tcBorders>
              <w:top w:val="single" w:sz="8" w:space="0" w:color="auto"/>
              <w:left w:val="nil"/>
              <w:bottom w:val="single" w:sz="8" w:space="0" w:color="auto"/>
              <w:right w:val="single" w:sz="8" w:space="0" w:color="auto"/>
            </w:tcBorders>
            <w:shd w:val="clear" w:color="000000" w:fill="D9E1F2"/>
            <w:noWrap/>
            <w:vAlign w:val="center"/>
            <w:hideMark/>
          </w:tcPr>
          <w:p w14:paraId="2D21E75B" w14:textId="77777777" w:rsidR="00DA5579" w:rsidRPr="001F1C96" w:rsidRDefault="0058317E" w:rsidP="00DA5579">
            <w:pPr>
              <w:jc w:val="right"/>
              <w:rPr>
                <w:rFonts w:cs="Arial"/>
                <w:b/>
                <w:bCs/>
                <w:color w:val="000000"/>
                <w:sz w:val="18"/>
                <w:szCs w:val="18"/>
              </w:rPr>
            </w:pPr>
            <w:r>
              <w:rPr>
                <w:rFonts w:cs="Arial"/>
                <w:b/>
                <w:bCs/>
                <w:color w:val="000000"/>
                <w:sz w:val="18"/>
                <w:szCs w:val="18"/>
              </w:rPr>
              <w:t>1,034.9</w:t>
            </w:r>
          </w:p>
        </w:tc>
        <w:tc>
          <w:tcPr>
            <w:tcW w:w="567" w:type="dxa"/>
            <w:tcBorders>
              <w:top w:val="single" w:sz="8" w:space="0" w:color="auto"/>
              <w:left w:val="nil"/>
              <w:bottom w:val="single" w:sz="8" w:space="0" w:color="auto"/>
              <w:right w:val="single" w:sz="8" w:space="0" w:color="auto"/>
            </w:tcBorders>
            <w:shd w:val="clear" w:color="000000" w:fill="D9E1F2"/>
            <w:noWrap/>
            <w:vAlign w:val="center"/>
            <w:hideMark/>
          </w:tcPr>
          <w:p w14:paraId="2D21E75C" w14:textId="77777777" w:rsidR="00DA5579" w:rsidRPr="001F1C96" w:rsidRDefault="003A3CFD" w:rsidP="00DA5579">
            <w:pPr>
              <w:jc w:val="right"/>
              <w:rPr>
                <w:rFonts w:cs="Arial"/>
                <w:b/>
                <w:bCs/>
                <w:color w:val="000000"/>
                <w:sz w:val="18"/>
                <w:szCs w:val="18"/>
              </w:rPr>
            </w:pPr>
          </w:p>
        </w:tc>
        <w:tc>
          <w:tcPr>
            <w:tcW w:w="1134" w:type="dxa"/>
            <w:tcBorders>
              <w:top w:val="single" w:sz="8" w:space="0" w:color="auto"/>
              <w:left w:val="nil"/>
              <w:bottom w:val="single" w:sz="8" w:space="0" w:color="auto"/>
              <w:right w:val="single" w:sz="8" w:space="0" w:color="auto"/>
            </w:tcBorders>
            <w:shd w:val="clear" w:color="000000" w:fill="D9E1F2"/>
            <w:noWrap/>
            <w:vAlign w:val="center"/>
          </w:tcPr>
          <w:p w14:paraId="2D21E75D" w14:textId="77777777" w:rsidR="00DA5579" w:rsidRPr="001F1C96" w:rsidRDefault="0058317E" w:rsidP="00DA5579">
            <w:pPr>
              <w:jc w:val="right"/>
              <w:rPr>
                <w:rFonts w:cs="Arial"/>
                <w:b/>
                <w:bCs/>
                <w:color w:val="000000"/>
                <w:sz w:val="18"/>
                <w:szCs w:val="18"/>
              </w:rPr>
            </w:pPr>
            <w:r>
              <w:rPr>
                <w:rFonts w:cs="Arial"/>
                <w:b/>
                <w:bCs/>
                <w:color w:val="000000"/>
                <w:sz w:val="18"/>
                <w:szCs w:val="18"/>
              </w:rPr>
              <w:t>2,016.1</w:t>
            </w:r>
          </w:p>
        </w:tc>
        <w:tc>
          <w:tcPr>
            <w:tcW w:w="1424" w:type="dxa"/>
            <w:tcBorders>
              <w:top w:val="single" w:sz="8" w:space="0" w:color="auto"/>
              <w:left w:val="nil"/>
              <w:bottom w:val="single" w:sz="8" w:space="0" w:color="auto"/>
              <w:right w:val="single" w:sz="8" w:space="0" w:color="auto"/>
            </w:tcBorders>
            <w:shd w:val="clear" w:color="000000" w:fill="D9E1F2"/>
            <w:noWrap/>
            <w:vAlign w:val="center"/>
          </w:tcPr>
          <w:p w14:paraId="2D21E75E" w14:textId="77777777" w:rsidR="00DA5579" w:rsidRPr="001F1C96" w:rsidRDefault="0058317E" w:rsidP="00DA5579">
            <w:pPr>
              <w:jc w:val="right"/>
              <w:rPr>
                <w:rFonts w:cs="Arial"/>
                <w:b/>
                <w:bCs/>
                <w:color w:val="000000"/>
                <w:sz w:val="18"/>
                <w:szCs w:val="18"/>
              </w:rPr>
            </w:pPr>
            <w:r>
              <w:rPr>
                <w:rFonts w:cs="Arial"/>
                <w:b/>
                <w:bCs/>
                <w:color w:val="000000"/>
                <w:sz w:val="18"/>
                <w:szCs w:val="18"/>
              </w:rPr>
              <w:t>(1,505.6)</w:t>
            </w:r>
          </w:p>
        </w:tc>
        <w:tc>
          <w:tcPr>
            <w:tcW w:w="1136" w:type="dxa"/>
            <w:tcBorders>
              <w:top w:val="single" w:sz="8" w:space="0" w:color="auto"/>
              <w:left w:val="nil"/>
              <w:bottom w:val="single" w:sz="8" w:space="0" w:color="auto"/>
              <w:right w:val="single" w:sz="8" w:space="0" w:color="auto"/>
            </w:tcBorders>
            <w:shd w:val="clear" w:color="000000" w:fill="D9E1F2"/>
            <w:noWrap/>
            <w:vAlign w:val="center"/>
          </w:tcPr>
          <w:p w14:paraId="2D21E75F" w14:textId="77777777" w:rsidR="00DA5579" w:rsidRPr="001F1C96" w:rsidRDefault="0058317E" w:rsidP="00DA5579">
            <w:pPr>
              <w:jc w:val="right"/>
              <w:rPr>
                <w:rFonts w:cs="Arial"/>
                <w:b/>
                <w:bCs/>
                <w:color w:val="000000"/>
                <w:sz w:val="18"/>
                <w:szCs w:val="18"/>
              </w:rPr>
            </w:pPr>
            <w:r>
              <w:rPr>
                <w:rFonts w:cs="Arial"/>
                <w:b/>
                <w:bCs/>
                <w:color w:val="000000"/>
                <w:sz w:val="18"/>
                <w:szCs w:val="18"/>
              </w:rPr>
              <w:t>1,545.4</w:t>
            </w:r>
          </w:p>
        </w:tc>
        <w:tc>
          <w:tcPr>
            <w:tcW w:w="708" w:type="dxa"/>
            <w:tcBorders>
              <w:top w:val="single" w:sz="8" w:space="0" w:color="auto"/>
              <w:left w:val="nil"/>
              <w:bottom w:val="single" w:sz="8" w:space="0" w:color="auto"/>
              <w:right w:val="single" w:sz="8" w:space="0" w:color="auto"/>
            </w:tcBorders>
            <w:shd w:val="clear" w:color="000000" w:fill="D9E1F2"/>
            <w:noWrap/>
            <w:vAlign w:val="center"/>
          </w:tcPr>
          <w:p w14:paraId="2D21E760" w14:textId="77777777" w:rsidR="00DA5579" w:rsidRPr="001F1C96" w:rsidRDefault="003A3CFD" w:rsidP="00DA5579">
            <w:pPr>
              <w:jc w:val="right"/>
              <w:rPr>
                <w:rFonts w:cs="Arial"/>
                <w:b/>
                <w:bCs/>
                <w:color w:val="000000"/>
                <w:sz w:val="18"/>
                <w:szCs w:val="18"/>
              </w:rPr>
            </w:pPr>
          </w:p>
        </w:tc>
      </w:tr>
    </w:tbl>
    <w:p w14:paraId="2D21E762" w14:textId="77777777" w:rsidR="00DA5579" w:rsidRDefault="003A3CFD" w:rsidP="00DA5579">
      <w:pPr>
        <w:jc w:val="both"/>
        <w:rPr>
          <w:highlight w:val="yellow"/>
        </w:rPr>
      </w:pPr>
    </w:p>
    <w:p w14:paraId="2D21E763" w14:textId="77777777" w:rsidR="00DA5579" w:rsidRDefault="0058317E" w:rsidP="00DA5579">
      <w:pPr>
        <w:jc w:val="both"/>
        <w:rPr>
          <w:b/>
          <w:szCs w:val="24"/>
        </w:rPr>
      </w:pPr>
      <w:bookmarkStart w:id="0" w:name="_GoBack"/>
      <w:r>
        <w:rPr>
          <w:noProof/>
        </w:rPr>
        <w:lastRenderedPageBreak/>
        <w:drawing>
          <wp:inline distT="0" distB="0" distL="0" distR="0" wp14:anchorId="2D21E8B4" wp14:editId="2D21E8B5">
            <wp:extent cx="5805577" cy="3157267"/>
            <wp:effectExtent l="0" t="0" r="5080"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14:paraId="2D21E764" w14:textId="77777777" w:rsidR="00DA5579" w:rsidRDefault="003A3CFD" w:rsidP="00DA5579">
      <w:pPr>
        <w:jc w:val="both"/>
      </w:pPr>
    </w:p>
    <w:p w14:paraId="2D21E765" w14:textId="77777777" w:rsidR="00DA5579" w:rsidRPr="0006752A" w:rsidRDefault="0058317E" w:rsidP="00DA5579">
      <w:pPr>
        <w:jc w:val="both"/>
        <w:rPr>
          <w:b/>
          <w:szCs w:val="24"/>
        </w:rPr>
      </w:pPr>
      <w:r w:rsidRPr="008662D0">
        <w:t xml:space="preserve">Overall the average rate of interest paid in </w:t>
      </w:r>
      <w:r w:rsidRPr="008662D0">
        <w:rPr>
          <w:caps/>
        </w:rPr>
        <w:t>201</w:t>
      </w:r>
      <w:r>
        <w:rPr>
          <w:caps/>
        </w:rPr>
        <w:t>9</w:t>
      </w:r>
      <w:r w:rsidRPr="008662D0">
        <w:rPr>
          <w:caps/>
        </w:rPr>
        <w:t>/</w:t>
      </w:r>
      <w:r>
        <w:rPr>
          <w:caps/>
        </w:rPr>
        <w:t>20</w:t>
      </w:r>
      <w:r w:rsidRPr="008662D0">
        <w:t xml:space="preserve"> on the debt administered by the </w:t>
      </w:r>
      <w:r>
        <w:t>council</w:t>
      </w:r>
      <w:r w:rsidRPr="008662D0">
        <w:t xml:space="preserve"> was </w:t>
      </w:r>
      <w:r>
        <w:t>2</w:t>
      </w:r>
      <w:r w:rsidRPr="00624B4D">
        <w:t>.05% per annum compared with an average rate</w:t>
      </w:r>
      <w:r w:rsidRPr="008662D0">
        <w:t xml:space="preserve"> of 2.</w:t>
      </w:r>
      <w:r>
        <w:t>1</w:t>
      </w:r>
      <w:r w:rsidRPr="008662D0">
        <w:t>% in 201</w:t>
      </w:r>
      <w:r>
        <w:t>8</w:t>
      </w:r>
      <w:r w:rsidRPr="008662D0">
        <w:t>/1</w:t>
      </w:r>
      <w:r>
        <w:t>9</w:t>
      </w:r>
      <w:r w:rsidRPr="008662D0">
        <w:t>.</w:t>
      </w:r>
    </w:p>
    <w:p w14:paraId="2D21E766" w14:textId="77777777" w:rsidR="00DA5579" w:rsidRPr="008662D0" w:rsidRDefault="003A3CFD" w:rsidP="00DA5579">
      <w:pPr>
        <w:jc w:val="both"/>
      </w:pPr>
    </w:p>
    <w:p w14:paraId="2D21E767" w14:textId="77777777" w:rsidR="00DA5579" w:rsidRDefault="0058317E" w:rsidP="00DA5579">
      <w:pPr>
        <w:jc w:val="both"/>
        <w:rPr>
          <w:szCs w:val="24"/>
        </w:rPr>
      </w:pPr>
      <w:r w:rsidRPr="0006752A">
        <w:rPr>
          <w:szCs w:val="24"/>
        </w:rPr>
        <w:t xml:space="preserve">The council did not enter into any new </w:t>
      </w:r>
      <w:r>
        <w:rPr>
          <w:szCs w:val="24"/>
        </w:rPr>
        <w:t>'</w:t>
      </w:r>
      <w:r w:rsidRPr="0006752A">
        <w:rPr>
          <w:szCs w:val="24"/>
        </w:rPr>
        <w:t>other long term liability</w:t>
      </w:r>
      <w:r>
        <w:rPr>
          <w:szCs w:val="24"/>
        </w:rPr>
        <w:t>'</w:t>
      </w:r>
      <w:r w:rsidRPr="0006752A">
        <w:rPr>
          <w:szCs w:val="24"/>
        </w:rPr>
        <w:t xml:space="preserve"> arrangements in the year. The outstanding Private Finance Initiative liability at 31 March 2020 was £146.6m.</w:t>
      </w:r>
    </w:p>
    <w:p w14:paraId="2D21E768" w14:textId="77777777" w:rsidR="00DA5579" w:rsidRDefault="003A3CFD" w:rsidP="00DA5579">
      <w:pPr>
        <w:jc w:val="both"/>
        <w:rPr>
          <w:b/>
          <w:szCs w:val="24"/>
        </w:rPr>
      </w:pPr>
    </w:p>
    <w:p w14:paraId="2D21E769" w14:textId="77777777" w:rsidR="00DA5579" w:rsidRPr="0070497D" w:rsidRDefault="0058317E" w:rsidP="00DA5579">
      <w:pPr>
        <w:jc w:val="both"/>
        <w:rPr>
          <w:b/>
          <w:szCs w:val="24"/>
        </w:rPr>
      </w:pPr>
      <w:r w:rsidRPr="0070497D">
        <w:rPr>
          <w:b/>
          <w:szCs w:val="24"/>
        </w:rPr>
        <w:t>Investment Activity</w:t>
      </w:r>
    </w:p>
    <w:p w14:paraId="2D21E76A" w14:textId="77777777" w:rsidR="00DA5579" w:rsidRPr="0070497D" w:rsidRDefault="003A3CFD" w:rsidP="00DA5579">
      <w:pPr>
        <w:jc w:val="both"/>
        <w:rPr>
          <w:b/>
          <w:szCs w:val="24"/>
        </w:rPr>
      </w:pPr>
    </w:p>
    <w:p w14:paraId="2D21E76B" w14:textId="04DDDC69" w:rsidR="00DA5579" w:rsidRPr="0070497D" w:rsidRDefault="0058317E" w:rsidP="00DA5579">
      <w:pPr>
        <w:jc w:val="both"/>
      </w:pPr>
      <w:r w:rsidRPr="0070497D">
        <w:rPr>
          <w:szCs w:val="24"/>
        </w:rPr>
        <w:t xml:space="preserve">The </w:t>
      </w:r>
      <w:r>
        <w:rPr>
          <w:szCs w:val="24"/>
        </w:rPr>
        <w:t>c</w:t>
      </w:r>
      <w:r w:rsidRPr="0070497D">
        <w:rPr>
          <w:szCs w:val="24"/>
        </w:rPr>
        <w:t>ouncil invests</w:t>
      </w:r>
      <w:r>
        <w:rPr>
          <w:szCs w:val="24"/>
        </w:rPr>
        <w:t xml:space="preserve"> its</w:t>
      </w:r>
      <w:r w:rsidRPr="0070497D">
        <w:rPr>
          <w:szCs w:val="24"/>
        </w:rPr>
        <w:t xml:space="preserve"> reserves and other cash balances. </w:t>
      </w:r>
      <w:r w:rsidRPr="0070497D">
        <w:t xml:space="preserve">The total </w:t>
      </w:r>
      <w:r>
        <w:t>value</w:t>
      </w:r>
      <w:r w:rsidRPr="0070497D">
        <w:t xml:space="preserve"> of investment</w:t>
      </w:r>
      <w:r>
        <w:t>s held</w:t>
      </w:r>
      <w:r w:rsidRPr="0070497D">
        <w:t xml:space="preserve"> (excluding fair value adjustment)</w:t>
      </w:r>
      <w:r>
        <w:t>, a</w:t>
      </w:r>
      <w:r w:rsidRPr="0070497D">
        <w:t>t 31 March 20</w:t>
      </w:r>
      <w:r>
        <w:t>20</w:t>
      </w:r>
      <w:r w:rsidRPr="0070497D">
        <w:t xml:space="preserve"> </w:t>
      </w:r>
      <w:r>
        <w:t xml:space="preserve">for treasury management purposes </w:t>
      </w:r>
      <w:r w:rsidRPr="00497510">
        <w:t>was £907</w:t>
      </w:r>
      <w:r>
        <w:t>.8</w:t>
      </w:r>
      <w:r w:rsidRPr="00497510">
        <w:t>m</w:t>
      </w:r>
      <w:r w:rsidR="001E589B">
        <w:t xml:space="preserve">. </w:t>
      </w:r>
      <w:r w:rsidRPr="0070497D">
        <w:t xml:space="preserve">This </w:t>
      </w:r>
      <w:r w:rsidR="001E589B">
        <w:t>wa</w:t>
      </w:r>
      <w:r w:rsidRPr="0070497D">
        <w:t xml:space="preserve">s </w:t>
      </w:r>
      <w:r w:rsidRPr="0053741D">
        <w:t>£</w:t>
      </w:r>
      <w:r>
        <w:t>483.6</w:t>
      </w:r>
      <w:r w:rsidRPr="0053741D">
        <w:t>m</w:t>
      </w:r>
      <w:r w:rsidRPr="0070497D">
        <w:t xml:space="preserve"> higher than at 31 March 201</w:t>
      </w:r>
      <w:r>
        <w:t>9</w:t>
      </w:r>
      <w:r w:rsidRPr="0070497D">
        <w:t>. The table below shows the investment</w:t>
      </w:r>
      <w:r>
        <w:t xml:space="preserve"> holdings and the movements during the year</w:t>
      </w:r>
      <w:r w:rsidRPr="0070497D">
        <w:t>:</w:t>
      </w:r>
    </w:p>
    <w:p w14:paraId="2D21E76C" w14:textId="77777777" w:rsidR="00DA5579" w:rsidRPr="0070497D" w:rsidRDefault="003A3CFD" w:rsidP="00DA5579">
      <w:pPr>
        <w:jc w:val="both"/>
      </w:pPr>
    </w:p>
    <w:tbl>
      <w:tblPr>
        <w:tblW w:w="9017" w:type="dxa"/>
        <w:tblInd w:w="-10" w:type="dxa"/>
        <w:tblLook w:val="04A0" w:firstRow="1" w:lastRow="0" w:firstColumn="1" w:lastColumn="0" w:noHBand="0" w:noVBand="1"/>
      </w:tblPr>
      <w:tblGrid>
        <w:gridCol w:w="4820"/>
        <w:gridCol w:w="1417"/>
        <w:gridCol w:w="1418"/>
        <w:gridCol w:w="1362"/>
      </w:tblGrid>
      <w:tr w:rsidR="006619F2" w14:paraId="2D21E773" w14:textId="77777777" w:rsidTr="00B71F82">
        <w:trPr>
          <w:trHeight w:val="831"/>
        </w:trPr>
        <w:tc>
          <w:tcPr>
            <w:tcW w:w="4820" w:type="dxa"/>
            <w:tcBorders>
              <w:top w:val="single" w:sz="8" w:space="0" w:color="000000"/>
              <w:left w:val="single" w:sz="8" w:space="0" w:color="000000"/>
              <w:bottom w:val="single" w:sz="4" w:space="0" w:color="auto"/>
              <w:right w:val="single" w:sz="8" w:space="0" w:color="000000"/>
            </w:tcBorders>
            <w:shd w:val="clear" w:color="auto" w:fill="auto"/>
            <w:noWrap/>
            <w:hideMark/>
          </w:tcPr>
          <w:p w14:paraId="2D21E76D" w14:textId="77777777" w:rsidR="00DA5579" w:rsidRPr="00482BE9" w:rsidRDefault="0058317E" w:rsidP="00DA5579">
            <w:pPr>
              <w:rPr>
                <w:rFonts w:ascii="Times New Roman" w:hAnsi="Times New Roman"/>
                <w:color w:val="000000"/>
                <w:szCs w:val="24"/>
              </w:rPr>
            </w:pPr>
            <w:r w:rsidRPr="00482BE9">
              <w:rPr>
                <w:szCs w:val="24"/>
              </w:rPr>
              <w:t xml:space="preserve"> Maturity Range</w:t>
            </w:r>
          </w:p>
        </w:tc>
        <w:tc>
          <w:tcPr>
            <w:tcW w:w="1417" w:type="dxa"/>
            <w:tcBorders>
              <w:top w:val="single" w:sz="8" w:space="0" w:color="000000"/>
              <w:left w:val="nil"/>
              <w:bottom w:val="single" w:sz="4" w:space="0" w:color="auto"/>
              <w:right w:val="single" w:sz="8" w:space="0" w:color="000000"/>
            </w:tcBorders>
            <w:shd w:val="clear" w:color="auto" w:fill="auto"/>
            <w:noWrap/>
            <w:hideMark/>
          </w:tcPr>
          <w:p w14:paraId="2D21E76E" w14:textId="77777777" w:rsidR="00DA5579" w:rsidRPr="00482BE9" w:rsidRDefault="0058317E" w:rsidP="00DA5579">
            <w:pPr>
              <w:jc w:val="center"/>
              <w:rPr>
                <w:rFonts w:cs="Arial"/>
                <w:b/>
                <w:bCs/>
                <w:color w:val="000000"/>
                <w:szCs w:val="24"/>
              </w:rPr>
            </w:pPr>
            <w:r w:rsidRPr="00482BE9">
              <w:rPr>
                <w:szCs w:val="24"/>
              </w:rPr>
              <w:t>Position at 31/3/2019 £m</w:t>
            </w:r>
            <w:r w:rsidRPr="00482BE9">
              <w:rPr>
                <w:rFonts w:cs="Arial"/>
                <w:b/>
                <w:bCs/>
                <w:color w:val="000000"/>
                <w:szCs w:val="24"/>
              </w:rPr>
              <w:t xml:space="preserve"> </w:t>
            </w:r>
          </w:p>
        </w:tc>
        <w:tc>
          <w:tcPr>
            <w:tcW w:w="1418" w:type="dxa"/>
            <w:tcBorders>
              <w:top w:val="single" w:sz="8" w:space="0" w:color="000000"/>
              <w:left w:val="nil"/>
              <w:bottom w:val="single" w:sz="4" w:space="0" w:color="auto"/>
              <w:right w:val="single" w:sz="8" w:space="0" w:color="000000"/>
            </w:tcBorders>
            <w:shd w:val="clear" w:color="auto" w:fill="auto"/>
            <w:noWrap/>
            <w:hideMark/>
          </w:tcPr>
          <w:p w14:paraId="2D21E76F" w14:textId="77777777" w:rsidR="00DA5579" w:rsidRPr="00482BE9" w:rsidRDefault="0058317E" w:rsidP="00DA5579">
            <w:pPr>
              <w:jc w:val="center"/>
              <w:rPr>
                <w:szCs w:val="24"/>
              </w:rPr>
            </w:pPr>
            <w:r w:rsidRPr="00482BE9">
              <w:rPr>
                <w:szCs w:val="24"/>
              </w:rPr>
              <w:t xml:space="preserve">2019/20 Movement </w:t>
            </w:r>
          </w:p>
          <w:p w14:paraId="2D21E770" w14:textId="77777777" w:rsidR="00DA5579" w:rsidRPr="00482BE9" w:rsidRDefault="0058317E" w:rsidP="00DA5579">
            <w:pPr>
              <w:jc w:val="center"/>
              <w:rPr>
                <w:rFonts w:cs="Arial"/>
                <w:b/>
                <w:bCs/>
                <w:color w:val="000000"/>
                <w:szCs w:val="24"/>
              </w:rPr>
            </w:pPr>
            <w:r w:rsidRPr="00482BE9">
              <w:rPr>
                <w:szCs w:val="24"/>
              </w:rPr>
              <w:t>£m</w:t>
            </w:r>
            <w:r w:rsidRPr="00482BE9">
              <w:rPr>
                <w:rFonts w:cs="Arial"/>
                <w:b/>
                <w:bCs/>
                <w:color w:val="000000"/>
                <w:szCs w:val="24"/>
              </w:rPr>
              <w:t xml:space="preserve"> </w:t>
            </w:r>
          </w:p>
        </w:tc>
        <w:tc>
          <w:tcPr>
            <w:tcW w:w="1362" w:type="dxa"/>
            <w:tcBorders>
              <w:top w:val="single" w:sz="8" w:space="0" w:color="000000"/>
              <w:left w:val="nil"/>
              <w:bottom w:val="single" w:sz="4" w:space="0" w:color="auto"/>
              <w:right w:val="single" w:sz="8" w:space="0" w:color="000000"/>
            </w:tcBorders>
            <w:shd w:val="clear" w:color="auto" w:fill="auto"/>
            <w:noWrap/>
            <w:hideMark/>
          </w:tcPr>
          <w:p w14:paraId="2D21E771" w14:textId="77777777" w:rsidR="00DA5579" w:rsidRPr="00D01F3A" w:rsidRDefault="0058317E" w:rsidP="00DA5579">
            <w:pPr>
              <w:jc w:val="center"/>
              <w:rPr>
                <w:szCs w:val="24"/>
              </w:rPr>
            </w:pPr>
            <w:r w:rsidRPr="00D01F3A">
              <w:rPr>
                <w:szCs w:val="24"/>
              </w:rPr>
              <w:t xml:space="preserve">Position at 31/3/2020 </w:t>
            </w:r>
          </w:p>
          <w:p w14:paraId="2D21E772" w14:textId="77777777" w:rsidR="00DA5579" w:rsidRPr="00D01F3A" w:rsidRDefault="0058317E" w:rsidP="00DA5579">
            <w:pPr>
              <w:jc w:val="center"/>
              <w:rPr>
                <w:rFonts w:cs="Arial"/>
                <w:b/>
                <w:bCs/>
                <w:color w:val="000000"/>
                <w:szCs w:val="24"/>
              </w:rPr>
            </w:pPr>
            <w:r w:rsidRPr="00D01F3A">
              <w:rPr>
                <w:szCs w:val="24"/>
              </w:rPr>
              <w:t>£m</w:t>
            </w:r>
            <w:r w:rsidRPr="00D01F3A">
              <w:rPr>
                <w:rFonts w:cs="Arial"/>
                <w:b/>
                <w:bCs/>
                <w:color w:val="000000"/>
                <w:szCs w:val="24"/>
              </w:rPr>
              <w:t xml:space="preserve"> </w:t>
            </w:r>
          </w:p>
        </w:tc>
      </w:tr>
      <w:tr w:rsidR="006619F2" w14:paraId="2D21E778" w14:textId="77777777" w:rsidTr="00B71F82">
        <w:trPr>
          <w:trHeight w:val="227"/>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14:paraId="2D21E774" w14:textId="77777777" w:rsidR="00DA5579" w:rsidRPr="00482BE9" w:rsidRDefault="0058317E" w:rsidP="00DA5579">
            <w:pPr>
              <w:rPr>
                <w:rFonts w:cs="Arial"/>
                <w:color w:val="000000"/>
                <w:szCs w:val="24"/>
              </w:rPr>
            </w:pPr>
            <w:r w:rsidRPr="00482BE9">
              <w:rPr>
                <w:szCs w:val="24"/>
              </w:rPr>
              <w:t>Call accounts and under 1 year</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D21E775" w14:textId="77777777" w:rsidR="00DA5579" w:rsidRPr="00482BE9" w:rsidRDefault="0058317E" w:rsidP="00B71F82">
            <w:pPr>
              <w:jc w:val="right"/>
              <w:rPr>
                <w:rFonts w:cs="Arial"/>
                <w:color w:val="000000"/>
                <w:szCs w:val="24"/>
              </w:rPr>
            </w:pPr>
            <w:r w:rsidRPr="00482BE9">
              <w:rPr>
                <w:szCs w:val="24"/>
              </w:rPr>
              <w:t>97.4</w:t>
            </w:r>
          </w:p>
        </w:tc>
        <w:tc>
          <w:tcPr>
            <w:tcW w:w="1418" w:type="dxa"/>
            <w:tcBorders>
              <w:top w:val="nil"/>
              <w:left w:val="nil"/>
              <w:bottom w:val="single" w:sz="8" w:space="0" w:color="000000"/>
              <w:right w:val="single" w:sz="8" w:space="0" w:color="000000"/>
            </w:tcBorders>
            <w:shd w:val="clear" w:color="auto" w:fill="auto"/>
            <w:noWrap/>
            <w:vAlign w:val="center"/>
          </w:tcPr>
          <w:p w14:paraId="2D21E776" w14:textId="77777777" w:rsidR="00DA5579" w:rsidRPr="00482BE9" w:rsidRDefault="0058317E" w:rsidP="00B71F82">
            <w:pPr>
              <w:jc w:val="right"/>
              <w:rPr>
                <w:rFonts w:cs="Arial"/>
                <w:color w:val="000000"/>
              </w:rPr>
            </w:pPr>
            <w:r w:rsidRPr="00482BE9">
              <w:rPr>
                <w:rFonts w:cs="Arial"/>
                <w:color w:val="000000"/>
              </w:rPr>
              <w:t>492.4</w:t>
            </w:r>
          </w:p>
        </w:tc>
        <w:tc>
          <w:tcPr>
            <w:tcW w:w="1362" w:type="dxa"/>
            <w:tcBorders>
              <w:top w:val="nil"/>
              <w:left w:val="nil"/>
              <w:bottom w:val="single" w:sz="8" w:space="0" w:color="000000"/>
              <w:right w:val="single" w:sz="8" w:space="0" w:color="000000"/>
            </w:tcBorders>
            <w:shd w:val="clear" w:color="auto" w:fill="auto"/>
            <w:noWrap/>
            <w:vAlign w:val="center"/>
          </w:tcPr>
          <w:p w14:paraId="2D21E777" w14:textId="77777777" w:rsidR="00DA5579" w:rsidRPr="00D01F3A" w:rsidRDefault="0058317E" w:rsidP="00B71F82">
            <w:pPr>
              <w:jc w:val="right"/>
              <w:rPr>
                <w:rFonts w:cs="Arial"/>
                <w:color w:val="000000"/>
              </w:rPr>
            </w:pPr>
            <w:r w:rsidRPr="00D01F3A">
              <w:rPr>
                <w:rFonts w:cs="Arial"/>
                <w:color w:val="000000"/>
              </w:rPr>
              <w:t>589.8</w:t>
            </w:r>
          </w:p>
        </w:tc>
      </w:tr>
      <w:tr w:rsidR="006619F2" w14:paraId="2D21E77D" w14:textId="77777777" w:rsidTr="00B71F82">
        <w:trPr>
          <w:trHeight w:val="203"/>
        </w:trPr>
        <w:tc>
          <w:tcPr>
            <w:tcW w:w="4820" w:type="dxa"/>
            <w:tcBorders>
              <w:top w:val="single" w:sz="4" w:space="0" w:color="auto"/>
              <w:left w:val="single" w:sz="8" w:space="0" w:color="000000"/>
              <w:bottom w:val="single" w:sz="8" w:space="0" w:color="auto"/>
              <w:right w:val="single" w:sz="8" w:space="0" w:color="000000"/>
            </w:tcBorders>
            <w:shd w:val="clear" w:color="auto" w:fill="auto"/>
            <w:noWrap/>
            <w:hideMark/>
          </w:tcPr>
          <w:p w14:paraId="2D21E779" w14:textId="77777777" w:rsidR="00DA5579" w:rsidRPr="00482BE9" w:rsidRDefault="0058317E" w:rsidP="00DA5579">
            <w:pPr>
              <w:rPr>
                <w:rFonts w:cs="Arial"/>
                <w:color w:val="000000"/>
                <w:szCs w:val="24"/>
              </w:rPr>
            </w:pPr>
            <w:r w:rsidRPr="00482BE9">
              <w:rPr>
                <w:szCs w:val="24"/>
              </w:rPr>
              <w:t>Bank deposit 1-2 years</w:t>
            </w:r>
          </w:p>
        </w:tc>
        <w:tc>
          <w:tcPr>
            <w:tcW w:w="1417" w:type="dxa"/>
            <w:tcBorders>
              <w:top w:val="single" w:sz="4" w:space="0" w:color="auto"/>
              <w:left w:val="nil"/>
              <w:bottom w:val="single" w:sz="8" w:space="0" w:color="000000"/>
              <w:right w:val="single" w:sz="8" w:space="0" w:color="000000"/>
            </w:tcBorders>
            <w:shd w:val="clear" w:color="auto" w:fill="auto"/>
            <w:noWrap/>
            <w:hideMark/>
          </w:tcPr>
          <w:p w14:paraId="2D21E77A" w14:textId="77777777" w:rsidR="00DA5579" w:rsidRPr="00482BE9" w:rsidRDefault="0058317E" w:rsidP="00B71F82">
            <w:pPr>
              <w:jc w:val="right"/>
              <w:rPr>
                <w:rFonts w:cs="Arial"/>
                <w:color w:val="000000"/>
                <w:szCs w:val="24"/>
              </w:rPr>
            </w:pPr>
            <w:r w:rsidRPr="00482BE9">
              <w:rPr>
                <w:szCs w:val="24"/>
              </w:rPr>
              <w:t>1.3</w:t>
            </w:r>
          </w:p>
        </w:tc>
        <w:tc>
          <w:tcPr>
            <w:tcW w:w="1418" w:type="dxa"/>
            <w:tcBorders>
              <w:top w:val="nil"/>
              <w:left w:val="nil"/>
              <w:bottom w:val="single" w:sz="8" w:space="0" w:color="000000"/>
              <w:right w:val="single" w:sz="8" w:space="0" w:color="000000"/>
            </w:tcBorders>
            <w:shd w:val="clear" w:color="auto" w:fill="auto"/>
            <w:noWrap/>
            <w:vAlign w:val="center"/>
          </w:tcPr>
          <w:p w14:paraId="2D21E77B" w14:textId="77777777" w:rsidR="00DA5579" w:rsidRPr="00482BE9" w:rsidRDefault="0058317E" w:rsidP="00B71F82">
            <w:pPr>
              <w:jc w:val="right"/>
              <w:rPr>
                <w:rFonts w:cs="Arial"/>
                <w:color w:val="000000"/>
              </w:rPr>
            </w:pPr>
            <w:r w:rsidRPr="00482BE9">
              <w:rPr>
                <w:rFonts w:cs="Arial"/>
                <w:color w:val="000000"/>
              </w:rPr>
              <w:t>-1.3</w:t>
            </w:r>
          </w:p>
        </w:tc>
        <w:tc>
          <w:tcPr>
            <w:tcW w:w="1362" w:type="dxa"/>
            <w:tcBorders>
              <w:top w:val="nil"/>
              <w:left w:val="nil"/>
              <w:bottom w:val="single" w:sz="8" w:space="0" w:color="000000"/>
              <w:right w:val="single" w:sz="8" w:space="0" w:color="000000"/>
            </w:tcBorders>
            <w:shd w:val="clear" w:color="auto" w:fill="auto"/>
            <w:noWrap/>
            <w:vAlign w:val="center"/>
          </w:tcPr>
          <w:p w14:paraId="2D21E77C" w14:textId="77777777" w:rsidR="00DA5579" w:rsidRPr="00D01F3A" w:rsidRDefault="0058317E" w:rsidP="00B71F82">
            <w:pPr>
              <w:jc w:val="right"/>
              <w:rPr>
                <w:rFonts w:cs="Arial"/>
                <w:color w:val="000000"/>
              </w:rPr>
            </w:pPr>
            <w:r w:rsidRPr="00D01F3A">
              <w:rPr>
                <w:rFonts w:cs="Arial"/>
                <w:color w:val="000000"/>
              </w:rPr>
              <w:t>0.0</w:t>
            </w:r>
          </w:p>
        </w:tc>
      </w:tr>
      <w:tr w:rsidR="006619F2" w14:paraId="2D21E782" w14:textId="77777777" w:rsidTr="00B71F82">
        <w:trPr>
          <w:trHeight w:val="349"/>
        </w:trPr>
        <w:tc>
          <w:tcPr>
            <w:tcW w:w="4820" w:type="dxa"/>
            <w:tcBorders>
              <w:top w:val="nil"/>
              <w:left w:val="single" w:sz="8" w:space="0" w:color="000000"/>
              <w:bottom w:val="single" w:sz="8" w:space="0" w:color="000000"/>
              <w:right w:val="single" w:sz="8" w:space="0" w:color="000000"/>
            </w:tcBorders>
            <w:shd w:val="clear" w:color="auto" w:fill="auto"/>
            <w:noWrap/>
            <w:hideMark/>
          </w:tcPr>
          <w:p w14:paraId="2D21E77E" w14:textId="77777777" w:rsidR="00DA5579" w:rsidRPr="00482BE9" w:rsidRDefault="0058317E" w:rsidP="00DA5579">
            <w:pPr>
              <w:rPr>
                <w:rFonts w:cs="Arial"/>
                <w:color w:val="000000"/>
                <w:szCs w:val="24"/>
              </w:rPr>
            </w:pPr>
            <w:r w:rsidRPr="00482BE9">
              <w:rPr>
                <w:szCs w:val="24"/>
              </w:rPr>
              <w:t xml:space="preserve">Bank </w:t>
            </w:r>
            <w:r>
              <w:rPr>
                <w:szCs w:val="24"/>
              </w:rPr>
              <w:t>&amp;</w:t>
            </w:r>
            <w:r w:rsidRPr="00482BE9">
              <w:rPr>
                <w:szCs w:val="24"/>
              </w:rPr>
              <w:t xml:space="preserve"> local authority deposits 2-3 years</w:t>
            </w:r>
          </w:p>
        </w:tc>
        <w:tc>
          <w:tcPr>
            <w:tcW w:w="1417" w:type="dxa"/>
            <w:tcBorders>
              <w:top w:val="nil"/>
              <w:left w:val="nil"/>
              <w:bottom w:val="single" w:sz="8" w:space="0" w:color="000000"/>
              <w:right w:val="single" w:sz="8" w:space="0" w:color="000000"/>
            </w:tcBorders>
            <w:shd w:val="clear" w:color="auto" w:fill="auto"/>
            <w:noWrap/>
            <w:vAlign w:val="center"/>
            <w:hideMark/>
          </w:tcPr>
          <w:p w14:paraId="2D21E77F" w14:textId="77777777" w:rsidR="00DA5579" w:rsidRPr="00482BE9" w:rsidRDefault="0058317E" w:rsidP="00B71F82">
            <w:pPr>
              <w:jc w:val="right"/>
              <w:rPr>
                <w:rFonts w:cs="Arial"/>
                <w:color w:val="000000"/>
                <w:szCs w:val="24"/>
              </w:rPr>
            </w:pPr>
            <w:r w:rsidRPr="00482BE9">
              <w:rPr>
                <w:szCs w:val="24"/>
              </w:rPr>
              <w:t>0.0</w:t>
            </w:r>
          </w:p>
        </w:tc>
        <w:tc>
          <w:tcPr>
            <w:tcW w:w="1418" w:type="dxa"/>
            <w:tcBorders>
              <w:top w:val="nil"/>
              <w:left w:val="nil"/>
              <w:bottom w:val="single" w:sz="8" w:space="0" w:color="000000"/>
              <w:right w:val="single" w:sz="8" w:space="0" w:color="000000"/>
            </w:tcBorders>
            <w:shd w:val="clear" w:color="auto" w:fill="auto"/>
            <w:noWrap/>
            <w:vAlign w:val="center"/>
          </w:tcPr>
          <w:p w14:paraId="2D21E780" w14:textId="77777777" w:rsidR="00DA5579" w:rsidRPr="00482BE9" w:rsidRDefault="0058317E" w:rsidP="00B71F82">
            <w:pPr>
              <w:jc w:val="right"/>
              <w:rPr>
                <w:rFonts w:cs="Arial"/>
                <w:color w:val="000000"/>
              </w:rPr>
            </w:pPr>
            <w:r w:rsidRPr="00482BE9">
              <w:rPr>
                <w:rFonts w:cs="Arial"/>
                <w:color w:val="000000"/>
              </w:rPr>
              <w:t>0.0</w:t>
            </w:r>
          </w:p>
        </w:tc>
        <w:tc>
          <w:tcPr>
            <w:tcW w:w="1362" w:type="dxa"/>
            <w:tcBorders>
              <w:top w:val="nil"/>
              <w:left w:val="nil"/>
              <w:bottom w:val="single" w:sz="8" w:space="0" w:color="000000"/>
              <w:right w:val="single" w:sz="8" w:space="0" w:color="000000"/>
            </w:tcBorders>
            <w:shd w:val="clear" w:color="auto" w:fill="auto"/>
            <w:noWrap/>
            <w:vAlign w:val="center"/>
          </w:tcPr>
          <w:p w14:paraId="2D21E781" w14:textId="77777777" w:rsidR="00DA5579" w:rsidRPr="00D01F3A" w:rsidRDefault="0058317E" w:rsidP="00B71F82">
            <w:pPr>
              <w:jc w:val="right"/>
              <w:rPr>
                <w:rFonts w:cs="Arial"/>
                <w:color w:val="000000"/>
              </w:rPr>
            </w:pPr>
            <w:r w:rsidRPr="00D01F3A">
              <w:rPr>
                <w:rFonts w:cs="Arial"/>
                <w:color w:val="000000"/>
              </w:rPr>
              <w:t>0.0</w:t>
            </w:r>
          </w:p>
        </w:tc>
      </w:tr>
      <w:tr w:rsidR="006619F2" w14:paraId="2D21E787" w14:textId="77777777" w:rsidTr="00B71F82">
        <w:trPr>
          <w:trHeight w:val="349"/>
        </w:trPr>
        <w:tc>
          <w:tcPr>
            <w:tcW w:w="4820" w:type="dxa"/>
            <w:tcBorders>
              <w:top w:val="nil"/>
              <w:left w:val="single" w:sz="8" w:space="0" w:color="000000"/>
              <w:bottom w:val="single" w:sz="8" w:space="0" w:color="000000"/>
              <w:right w:val="single" w:sz="8" w:space="0" w:color="000000"/>
            </w:tcBorders>
            <w:shd w:val="clear" w:color="auto" w:fill="auto"/>
            <w:noWrap/>
          </w:tcPr>
          <w:p w14:paraId="2D21E783" w14:textId="77777777" w:rsidR="00DA5579" w:rsidRPr="00482BE9" w:rsidRDefault="0058317E" w:rsidP="00DA5579">
            <w:pPr>
              <w:rPr>
                <w:rFonts w:cs="Arial"/>
                <w:color w:val="000000"/>
              </w:rPr>
            </w:pPr>
            <w:r w:rsidRPr="00482BE9">
              <w:rPr>
                <w:rFonts w:cs="Arial"/>
                <w:color w:val="000000"/>
              </w:rPr>
              <w:t xml:space="preserve">Bank &amp; </w:t>
            </w:r>
            <w:r>
              <w:rPr>
                <w:rFonts w:cs="Arial"/>
                <w:color w:val="000000"/>
              </w:rPr>
              <w:t>l</w:t>
            </w:r>
            <w:r w:rsidRPr="00482BE9">
              <w:rPr>
                <w:rFonts w:cs="Arial"/>
                <w:color w:val="000000"/>
              </w:rPr>
              <w:t xml:space="preserve">ocal </w:t>
            </w:r>
            <w:r>
              <w:rPr>
                <w:rFonts w:cs="Arial"/>
                <w:color w:val="000000"/>
              </w:rPr>
              <w:t>a</w:t>
            </w:r>
            <w:r w:rsidRPr="00482BE9">
              <w:rPr>
                <w:rFonts w:cs="Arial"/>
                <w:color w:val="000000"/>
              </w:rPr>
              <w:t xml:space="preserve">uthority </w:t>
            </w:r>
            <w:r>
              <w:rPr>
                <w:rFonts w:cs="Arial"/>
                <w:color w:val="000000"/>
              </w:rPr>
              <w:t>d</w:t>
            </w:r>
            <w:r w:rsidRPr="00482BE9">
              <w:rPr>
                <w:rFonts w:cs="Arial"/>
                <w:color w:val="000000"/>
              </w:rPr>
              <w:t xml:space="preserve">eposits 3-5 </w:t>
            </w:r>
            <w:r>
              <w:rPr>
                <w:rFonts w:cs="Arial"/>
                <w:color w:val="000000"/>
              </w:rPr>
              <w:t>y</w:t>
            </w:r>
            <w:r w:rsidRPr="00482BE9">
              <w:rPr>
                <w:rFonts w:cs="Arial"/>
                <w:color w:val="000000"/>
              </w:rPr>
              <w:t>ears</w:t>
            </w:r>
          </w:p>
        </w:tc>
        <w:tc>
          <w:tcPr>
            <w:tcW w:w="1417" w:type="dxa"/>
            <w:tcBorders>
              <w:top w:val="nil"/>
              <w:left w:val="nil"/>
              <w:bottom w:val="single" w:sz="8" w:space="0" w:color="000000"/>
              <w:right w:val="single" w:sz="8" w:space="0" w:color="000000"/>
            </w:tcBorders>
            <w:shd w:val="clear" w:color="auto" w:fill="auto"/>
            <w:noWrap/>
            <w:vAlign w:val="center"/>
          </w:tcPr>
          <w:p w14:paraId="2D21E784" w14:textId="77777777" w:rsidR="00DA5579" w:rsidRPr="00482BE9" w:rsidRDefault="0058317E" w:rsidP="00B71F82">
            <w:pPr>
              <w:jc w:val="right"/>
              <w:rPr>
                <w:szCs w:val="24"/>
              </w:rPr>
            </w:pPr>
            <w:r w:rsidRPr="00482BE9">
              <w:rPr>
                <w:szCs w:val="24"/>
              </w:rPr>
              <w:t>0.0</w:t>
            </w:r>
          </w:p>
        </w:tc>
        <w:tc>
          <w:tcPr>
            <w:tcW w:w="1418" w:type="dxa"/>
            <w:tcBorders>
              <w:top w:val="nil"/>
              <w:left w:val="nil"/>
              <w:bottom w:val="single" w:sz="8" w:space="0" w:color="000000"/>
              <w:right w:val="single" w:sz="8" w:space="0" w:color="000000"/>
            </w:tcBorders>
            <w:shd w:val="clear" w:color="auto" w:fill="auto"/>
            <w:noWrap/>
            <w:vAlign w:val="center"/>
          </w:tcPr>
          <w:p w14:paraId="2D21E785" w14:textId="77777777" w:rsidR="00DA5579" w:rsidRPr="00482BE9" w:rsidRDefault="0058317E" w:rsidP="00B71F82">
            <w:pPr>
              <w:jc w:val="right"/>
              <w:rPr>
                <w:rFonts w:cs="Arial"/>
                <w:color w:val="000000"/>
              </w:rPr>
            </w:pPr>
            <w:r w:rsidRPr="00482BE9">
              <w:rPr>
                <w:rFonts w:cs="Arial"/>
                <w:color w:val="000000"/>
              </w:rPr>
              <w:t>10.0</w:t>
            </w:r>
          </w:p>
        </w:tc>
        <w:tc>
          <w:tcPr>
            <w:tcW w:w="1362" w:type="dxa"/>
            <w:tcBorders>
              <w:top w:val="nil"/>
              <w:left w:val="nil"/>
              <w:bottom w:val="single" w:sz="8" w:space="0" w:color="000000"/>
              <w:right w:val="single" w:sz="8" w:space="0" w:color="000000"/>
            </w:tcBorders>
            <w:shd w:val="clear" w:color="auto" w:fill="auto"/>
            <w:noWrap/>
            <w:vAlign w:val="center"/>
          </w:tcPr>
          <w:p w14:paraId="2D21E786" w14:textId="77777777" w:rsidR="00DA5579" w:rsidRPr="00D01F3A" w:rsidRDefault="0058317E" w:rsidP="00B71F82">
            <w:pPr>
              <w:jc w:val="right"/>
              <w:rPr>
                <w:rFonts w:cs="Arial"/>
                <w:color w:val="000000"/>
              </w:rPr>
            </w:pPr>
            <w:r w:rsidRPr="00D01F3A">
              <w:rPr>
                <w:rFonts w:cs="Arial"/>
                <w:color w:val="000000"/>
              </w:rPr>
              <w:t>10.0</w:t>
            </w:r>
          </w:p>
        </w:tc>
      </w:tr>
      <w:tr w:rsidR="006619F2" w14:paraId="2D21E78C" w14:textId="77777777" w:rsidTr="00B71F82">
        <w:trPr>
          <w:trHeight w:val="329"/>
        </w:trPr>
        <w:tc>
          <w:tcPr>
            <w:tcW w:w="4820" w:type="dxa"/>
            <w:tcBorders>
              <w:top w:val="nil"/>
              <w:left w:val="single" w:sz="8" w:space="0" w:color="000000"/>
              <w:bottom w:val="single" w:sz="8" w:space="0" w:color="000000"/>
              <w:right w:val="single" w:sz="8" w:space="0" w:color="000000"/>
            </w:tcBorders>
            <w:shd w:val="clear" w:color="auto" w:fill="auto"/>
            <w:noWrap/>
            <w:hideMark/>
          </w:tcPr>
          <w:p w14:paraId="2D21E788" w14:textId="77777777" w:rsidR="00DA5579" w:rsidRPr="00482BE9" w:rsidRDefault="0058317E" w:rsidP="00DA5579">
            <w:pPr>
              <w:rPr>
                <w:rFonts w:cs="Arial"/>
                <w:color w:val="000000"/>
                <w:szCs w:val="24"/>
              </w:rPr>
            </w:pPr>
            <w:r w:rsidRPr="00482BE9">
              <w:rPr>
                <w:szCs w:val="24"/>
              </w:rPr>
              <w:t>Bank deposit 5 years +</w:t>
            </w:r>
          </w:p>
        </w:tc>
        <w:tc>
          <w:tcPr>
            <w:tcW w:w="1417" w:type="dxa"/>
            <w:tcBorders>
              <w:top w:val="nil"/>
              <w:left w:val="nil"/>
              <w:bottom w:val="single" w:sz="8" w:space="0" w:color="000000"/>
              <w:right w:val="single" w:sz="8" w:space="0" w:color="000000"/>
            </w:tcBorders>
            <w:shd w:val="clear" w:color="auto" w:fill="auto"/>
            <w:noWrap/>
            <w:hideMark/>
          </w:tcPr>
          <w:p w14:paraId="2D21E789" w14:textId="77777777" w:rsidR="00DA5579" w:rsidRPr="00482BE9" w:rsidRDefault="0058317E" w:rsidP="00B71F82">
            <w:pPr>
              <w:jc w:val="right"/>
              <w:rPr>
                <w:rFonts w:cs="Arial"/>
                <w:color w:val="000000"/>
                <w:szCs w:val="24"/>
              </w:rPr>
            </w:pPr>
            <w:r w:rsidRPr="00482BE9">
              <w:rPr>
                <w:szCs w:val="24"/>
              </w:rPr>
              <w:t>10.0</w:t>
            </w:r>
          </w:p>
        </w:tc>
        <w:tc>
          <w:tcPr>
            <w:tcW w:w="1418" w:type="dxa"/>
            <w:tcBorders>
              <w:top w:val="nil"/>
              <w:left w:val="nil"/>
              <w:bottom w:val="single" w:sz="8" w:space="0" w:color="000000"/>
              <w:right w:val="single" w:sz="8" w:space="0" w:color="000000"/>
            </w:tcBorders>
            <w:shd w:val="clear" w:color="auto" w:fill="auto"/>
            <w:noWrap/>
            <w:vAlign w:val="center"/>
          </w:tcPr>
          <w:p w14:paraId="2D21E78A" w14:textId="77777777" w:rsidR="00DA5579" w:rsidRPr="00482BE9" w:rsidRDefault="0058317E" w:rsidP="00B71F82">
            <w:pPr>
              <w:jc w:val="right"/>
              <w:rPr>
                <w:rFonts w:cs="Arial"/>
                <w:color w:val="000000"/>
              </w:rPr>
            </w:pPr>
            <w:r w:rsidRPr="00482BE9">
              <w:rPr>
                <w:rFonts w:cs="Arial"/>
                <w:color w:val="000000"/>
              </w:rPr>
              <w:t>-10.0</w:t>
            </w:r>
          </w:p>
        </w:tc>
        <w:tc>
          <w:tcPr>
            <w:tcW w:w="1362" w:type="dxa"/>
            <w:tcBorders>
              <w:top w:val="nil"/>
              <w:left w:val="nil"/>
              <w:bottom w:val="single" w:sz="8" w:space="0" w:color="000000"/>
              <w:right w:val="single" w:sz="8" w:space="0" w:color="000000"/>
            </w:tcBorders>
            <w:shd w:val="clear" w:color="auto" w:fill="auto"/>
            <w:noWrap/>
            <w:vAlign w:val="center"/>
          </w:tcPr>
          <w:p w14:paraId="2D21E78B" w14:textId="77777777" w:rsidR="00DA5579" w:rsidRPr="00D01F3A" w:rsidRDefault="0058317E" w:rsidP="00B71F82">
            <w:pPr>
              <w:jc w:val="right"/>
              <w:rPr>
                <w:rFonts w:cs="Arial"/>
                <w:color w:val="000000"/>
              </w:rPr>
            </w:pPr>
            <w:r w:rsidRPr="00D01F3A">
              <w:rPr>
                <w:rFonts w:cs="Arial"/>
                <w:color w:val="000000"/>
              </w:rPr>
              <w:t>0.0</w:t>
            </w:r>
          </w:p>
        </w:tc>
      </w:tr>
      <w:tr w:rsidR="006619F2" w14:paraId="2D21E791" w14:textId="77777777" w:rsidTr="00B71F82">
        <w:trPr>
          <w:trHeight w:val="135"/>
        </w:trPr>
        <w:tc>
          <w:tcPr>
            <w:tcW w:w="4820" w:type="dxa"/>
            <w:tcBorders>
              <w:top w:val="nil"/>
              <w:left w:val="single" w:sz="8" w:space="0" w:color="000000"/>
              <w:bottom w:val="single" w:sz="8" w:space="0" w:color="000000"/>
              <w:right w:val="single" w:sz="8" w:space="0" w:color="000000"/>
            </w:tcBorders>
            <w:shd w:val="clear" w:color="auto" w:fill="auto"/>
            <w:noWrap/>
            <w:hideMark/>
          </w:tcPr>
          <w:p w14:paraId="2D21E78D" w14:textId="77777777" w:rsidR="00DA5579" w:rsidRPr="00482BE9" w:rsidRDefault="0058317E" w:rsidP="00DA5579">
            <w:pPr>
              <w:rPr>
                <w:rFonts w:cs="Arial"/>
                <w:color w:val="000000"/>
                <w:szCs w:val="24"/>
              </w:rPr>
            </w:pPr>
            <w:r w:rsidRPr="00482BE9">
              <w:rPr>
                <w:szCs w:val="24"/>
              </w:rPr>
              <w:t>Local authority bonds</w:t>
            </w:r>
          </w:p>
        </w:tc>
        <w:tc>
          <w:tcPr>
            <w:tcW w:w="1417" w:type="dxa"/>
            <w:tcBorders>
              <w:top w:val="nil"/>
              <w:left w:val="nil"/>
              <w:bottom w:val="single" w:sz="8" w:space="0" w:color="000000"/>
              <w:right w:val="single" w:sz="8" w:space="0" w:color="000000"/>
            </w:tcBorders>
            <w:shd w:val="clear" w:color="auto" w:fill="auto"/>
            <w:noWrap/>
            <w:hideMark/>
          </w:tcPr>
          <w:p w14:paraId="2D21E78E" w14:textId="77777777" w:rsidR="00DA5579" w:rsidRPr="00482BE9" w:rsidRDefault="0058317E" w:rsidP="00B71F82">
            <w:pPr>
              <w:jc w:val="right"/>
              <w:rPr>
                <w:rFonts w:cs="Arial"/>
                <w:color w:val="000000"/>
                <w:szCs w:val="24"/>
              </w:rPr>
            </w:pPr>
            <w:r>
              <w:rPr>
                <w:szCs w:val="24"/>
              </w:rPr>
              <w:t>33.2</w:t>
            </w:r>
          </w:p>
        </w:tc>
        <w:tc>
          <w:tcPr>
            <w:tcW w:w="1418" w:type="dxa"/>
            <w:tcBorders>
              <w:top w:val="nil"/>
              <w:left w:val="nil"/>
              <w:bottom w:val="single" w:sz="8" w:space="0" w:color="000000"/>
              <w:right w:val="single" w:sz="8" w:space="0" w:color="000000"/>
            </w:tcBorders>
            <w:shd w:val="clear" w:color="auto" w:fill="auto"/>
            <w:noWrap/>
            <w:vAlign w:val="center"/>
          </w:tcPr>
          <w:p w14:paraId="2D21E78F" w14:textId="77777777" w:rsidR="00DA5579" w:rsidRPr="00482BE9" w:rsidRDefault="0058317E" w:rsidP="00B71F82">
            <w:pPr>
              <w:jc w:val="right"/>
              <w:rPr>
                <w:rFonts w:cs="Arial"/>
                <w:color w:val="000000"/>
              </w:rPr>
            </w:pPr>
            <w:r w:rsidRPr="00482BE9">
              <w:rPr>
                <w:rFonts w:cs="Arial"/>
                <w:color w:val="000000"/>
              </w:rPr>
              <w:t>-</w:t>
            </w:r>
            <w:r>
              <w:rPr>
                <w:rFonts w:cs="Arial"/>
                <w:color w:val="000000"/>
              </w:rPr>
              <w:t>0.4</w:t>
            </w:r>
          </w:p>
        </w:tc>
        <w:tc>
          <w:tcPr>
            <w:tcW w:w="1362" w:type="dxa"/>
            <w:tcBorders>
              <w:top w:val="nil"/>
              <w:left w:val="nil"/>
              <w:bottom w:val="single" w:sz="8" w:space="0" w:color="000000"/>
              <w:right w:val="single" w:sz="8" w:space="0" w:color="000000"/>
            </w:tcBorders>
            <w:shd w:val="clear" w:color="auto" w:fill="auto"/>
            <w:noWrap/>
            <w:vAlign w:val="center"/>
          </w:tcPr>
          <w:p w14:paraId="2D21E790" w14:textId="77777777" w:rsidR="00DA5579" w:rsidRPr="00D01F3A" w:rsidRDefault="0058317E" w:rsidP="00B71F82">
            <w:pPr>
              <w:jc w:val="right"/>
              <w:rPr>
                <w:rFonts w:cs="Arial"/>
                <w:color w:val="000000"/>
              </w:rPr>
            </w:pPr>
            <w:r>
              <w:rPr>
                <w:rFonts w:cs="Arial"/>
                <w:color w:val="000000"/>
              </w:rPr>
              <w:t>3</w:t>
            </w:r>
            <w:r w:rsidRPr="00D01F3A">
              <w:rPr>
                <w:rFonts w:cs="Arial"/>
                <w:color w:val="000000"/>
              </w:rPr>
              <w:t>2.8</w:t>
            </w:r>
          </w:p>
        </w:tc>
      </w:tr>
      <w:tr w:rsidR="006619F2" w14:paraId="2D21E796" w14:textId="77777777" w:rsidTr="00B71F82">
        <w:trPr>
          <w:trHeight w:val="135"/>
        </w:trPr>
        <w:tc>
          <w:tcPr>
            <w:tcW w:w="4820" w:type="dxa"/>
            <w:tcBorders>
              <w:top w:val="nil"/>
              <w:left w:val="single" w:sz="8" w:space="0" w:color="000000"/>
              <w:bottom w:val="single" w:sz="8" w:space="0" w:color="000000"/>
              <w:right w:val="single" w:sz="8" w:space="0" w:color="000000"/>
            </w:tcBorders>
            <w:shd w:val="clear" w:color="auto" w:fill="auto"/>
            <w:noWrap/>
          </w:tcPr>
          <w:p w14:paraId="2D21E792" w14:textId="77777777" w:rsidR="00DA5579" w:rsidRPr="00482BE9" w:rsidRDefault="0058317E" w:rsidP="00DA5579">
            <w:pPr>
              <w:rPr>
                <w:szCs w:val="24"/>
              </w:rPr>
            </w:pPr>
            <w:r w:rsidRPr="00482BE9">
              <w:rPr>
                <w:szCs w:val="24"/>
              </w:rPr>
              <w:t>UK Government and supranational bonds</w:t>
            </w:r>
          </w:p>
        </w:tc>
        <w:tc>
          <w:tcPr>
            <w:tcW w:w="1417" w:type="dxa"/>
            <w:tcBorders>
              <w:top w:val="nil"/>
              <w:left w:val="nil"/>
              <w:bottom w:val="single" w:sz="8" w:space="0" w:color="000000"/>
              <w:right w:val="single" w:sz="8" w:space="0" w:color="000000"/>
            </w:tcBorders>
            <w:shd w:val="clear" w:color="auto" w:fill="auto"/>
            <w:noWrap/>
            <w:vAlign w:val="center"/>
          </w:tcPr>
          <w:p w14:paraId="2D21E793" w14:textId="77777777" w:rsidR="00DA5579" w:rsidRPr="00482BE9" w:rsidRDefault="0058317E" w:rsidP="00B71F82">
            <w:pPr>
              <w:jc w:val="right"/>
              <w:rPr>
                <w:rFonts w:cs="Arial"/>
                <w:b/>
                <w:bCs/>
                <w:color w:val="000000"/>
                <w:szCs w:val="24"/>
              </w:rPr>
            </w:pPr>
            <w:r w:rsidRPr="00482BE9">
              <w:rPr>
                <w:szCs w:val="24"/>
              </w:rPr>
              <w:t>282.3</w:t>
            </w:r>
          </w:p>
        </w:tc>
        <w:tc>
          <w:tcPr>
            <w:tcW w:w="1418" w:type="dxa"/>
            <w:tcBorders>
              <w:top w:val="nil"/>
              <w:left w:val="nil"/>
              <w:bottom w:val="single" w:sz="8" w:space="0" w:color="000000"/>
              <w:right w:val="single" w:sz="8" w:space="0" w:color="000000"/>
            </w:tcBorders>
            <w:shd w:val="clear" w:color="auto" w:fill="auto"/>
            <w:noWrap/>
            <w:vAlign w:val="center"/>
          </w:tcPr>
          <w:p w14:paraId="2D21E794" w14:textId="77777777" w:rsidR="00DA5579" w:rsidRPr="00482BE9" w:rsidRDefault="0058317E" w:rsidP="00B71F82">
            <w:pPr>
              <w:jc w:val="right"/>
              <w:rPr>
                <w:rFonts w:cs="Arial"/>
                <w:color w:val="000000"/>
              </w:rPr>
            </w:pPr>
            <w:r w:rsidRPr="00482BE9">
              <w:rPr>
                <w:rFonts w:cs="Arial"/>
                <w:color w:val="000000"/>
              </w:rPr>
              <w:t>-7.1</w:t>
            </w:r>
          </w:p>
        </w:tc>
        <w:tc>
          <w:tcPr>
            <w:tcW w:w="1362" w:type="dxa"/>
            <w:tcBorders>
              <w:top w:val="nil"/>
              <w:left w:val="nil"/>
              <w:bottom w:val="single" w:sz="8" w:space="0" w:color="000000"/>
              <w:right w:val="single" w:sz="8" w:space="0" w:color="000000"/>
            </w:tcBorders>
            <w:shd w:val="clear" w:color="auto" w:fill="auto"/>
            <w:noWrap/>
            <w:vAlign w:val="center"/>
          </w:tcPr>
          <w:p w14:paraId="2D21E795" w14:textId="77777777" w:rsidR="00DA5579" w:rsidRPr="00D01F3A" w:rsidRDefault="0058317E" w:rsidP="00B71F82">
            <w:pPr>
              <w:jc w:val="right"/>
              <w:rPr>
                <w:rFonts w:cs="Arial"/>
                <w:color w:val="000000"/>
              </w:rPr>
            </w:pPr>
            <w:r>
              <w:rPr>
                <w:rFonts w:cs="Arial"/>
                <w:color w:val="000000"/>
              </w:rPr>
              <w:t>275.2</w:t>
            </w:r>
          </w:p>
        </w:tc>
      </w:tr>
      <w:tr w:rsidR="006619F2" w14:paraId="2D21E79B" w14:textId="77777777" w:rsidTr="00B71F82">
        <w:trPr>
          <w:trHeight w:val="458"/>
        </w:trPr>
        <w:tc>
          <w:tcPr>
            <w:tcW w:w="4820" w:type="dxa"/>
            <w:tcBorders>
              <w:top w:val="nil"/>
              <w:left w:val="single" w:sz="8" w:space="0" w:color="000000"/>
              <w:bottom w:val="single" w:sz="8" w:space="0" w:color="000000"/>
              <w:right w:val="single" w:sz="8" w:space="0" w:color="000000"/>
            </w:tcBorders>
            <w:shd w:val="clear" w:color="auto" w:fill="auto"/>
            <w:noWrap/>
            <w:hideMark/>
          </w:tcPr>
          <w:p w14:paraId="2D21E797" w14:textId="77777777" w:rsidR="00DA5579" w:rsidRPr="00482BE9" w:rsidRDefault="0058317E" w:rsidP="00DA5579">
            <w:pPr>
              <w:rPr>
                <w:rFonts w:cs="Arial"/>
                <w:b/>
                <w:bCs/>
                <w:color w:val="000000"/>
                <w:szCs w:val="24"/>
              </w:rPr>
            </w:pPr>
            <w:r w:rsidRPr="00482BE9">
              <w:rPr>
                <w:b/>
                <w:szCs w:val="24"/>
              </w:rPr>
              <w:t>Total</w:t>
            </w:r>
          </w:p>
        </w:tc>
        <w:tc>
          <w:tcPr>
            <w:tcW w:w="1417" w:type="dxa"/>
            <w:tcBorders>
              <w:top w:val="nil"/>
              <w:left w:val="nil"/>
              <w:bottom w:val="single" w:sz="8" w:space="0" w:color="000000"/>
              <w:right w:val="single" w:sz="8" w:space="0" w:color="000000"/>
            </w:tcBorders>
            <w:shd w:val="clear" w:color="auto" w:fill="auto"/>
            <w:noWrap/>
            <w:vAlign w:val="center"/>
            <w:hideMark/>
          </w:tcPr>
          <w:p w14:paraId="2D21E798" w14:textId="77777777" w:rsidR="00DA5579" w:rsidRPr="00482BE9" w:rsidRDefault="0058317E" w:rsidP="00B71F82">
            <w:pPr>
              <w:jc w:val="right"/>
              <w:rPr>
                <w:rFonts w:cs="Arial"/>
                <w:b/>
                <w:bCs/>
                <w:color w:val="000000"/>
                <w:szCs w:val="24"/>
              </w:rPr>
            </w:pPr>
            <w:r>
              <w:rPr>
                <w:rFonts w:cs="Arial"/>
                <w:b/>
                <w:bCs/>
                <w:color w:val="000000"/>
                <w:szCs w:val="24"/>
              </w:rPr>
              <w:t>424.2</w:t>
            </w:r>
          </w:p>
        </w:tc>
        <w:tc>
          <w:tcPr>
            <w:tcW w:w="1418" w:type="dxa"/>
            <w:tcBorders>
              <w:top w:val="nil"/>
              <w:left w:val="nil"/>
              <w:bottom w:val="single" w:sz="8" w:space="0" w:color="000000"/>
              <w:right w:val="single" w:sz="8" w:space="0" w:color="000000"/>
            </w:tcBorders>
            <w:shd w:val="clear" w:color="auto" w:fill="auto"/>
            <w:noWrap/>
            <w:vAlign w:val="center"/>
          </w:tcPr>
          <w:p w14:paraId="2D21E799" w14:textId="77777777" w:rsidR="00DA5579" w:rsidRPr="00482BE9" w:rsidRDefault="0058317E" w:rsidP="00B71F82">
            <w:pPr>
              <w:jc w:val="right"/>
              <w:rPr>
                <w:rFonts w:cs="Arial"/>
                <w:b/>
                <w:color w:val="000000"/>
              </w:rPr>
            </w:pPr>
            <w:r>
              <w:rPr>
                <w:rFonts w:cs="Arial"/>
                <w:b/>
                <w:color w:val="000000"/>
              </w:rPr>
              <w:t>483.6</w:t>
            </w:r>
          </w:p>
        </w:tc>
        <w:tc>
          <w:tcPr>
            <w:tcW w:w="1362" w:type="dxa"/>
            <w:tcBorders>
              <w:top w:val="nil"/>
              <w:left w:val="nil"/>
              <w:bottom w:val="single" w:sz="8" w:space="0" w:color="000000"/>
              <w:right w:val="single" w:sz="8" w:space="0" w:color="000000"/>
            </w:tcBorders>
            <w:shd w:val="clear" w:color="auto" w:fill="auto"/>
            <w:noWrap/>
            <w:vAlign w:val="center"/>
          </w:tcPr>
          <w:p w14:paraId="2D21E79A" w14:textId="77777777" w:rsidR="00DA5579" w:rsidRPr="00D01F3A" w:rsidRDefault="0058317E" w:rsidP="00B71F82">
            <w:pPr>
              <w:jc w:val="right"/>
              <w:rPr>
                <w:rFonts w:cs="Arial"/>
                <w:b/>
                <w:color w:val="000000"/>
              </w:rPr>
            </w:pPr>
            <w:r>
              <w:rPr>
                <w:rFonts w:cs="Arial"/>
                <w:b/>
                <w:color w:val="000000"/>
              </w:rPr>
              <w:t>907.8</w:t>
            </w:r>
          </w:p>
        </w:tc>
      </w:tr>
    </w:tbl>
    <w:p w14:paraId="2D21E79C" w14:textId="77777777" w:rsidR="00DA5579" w:rsidRPr="00E8130F" w:rsidRDefault="003A3CFD" w:rsidP="00DA5579">
      <w:pPr>
        <w:jc w:val="both"/>
        <w:rPr>
          <w:highlight w:val="yellow"/>
        </w:rPr>
      </w:pPr>
    </w:p>
    <w:p w14:paraId="2D21E79D" w14:textId="58D627FF" w:rsidR="00DA5579" w:rsidRDefault="0058317E" w:rsidP="00DA5579">
      <w:pPr>
        <w:ind w:right="-153"/>
        <w:jc w:val="both"/>
      </w:pPr>
      <w:r>
        <w:t>In addition to the investments made for treasury management purposes</w:t>
      </w:r>
      <w:r w:rsidR="001E589B">
        <w:t>,</w:t>
      </w:r>
      <w:r>
        <w:t xml:space="preserve"> the non- treasury management investment strategy permits the </w:t>
      </w:r>
      <w:r w:rsidRPr="00006774">
        <w:t>invest</w:t>
      </w:r>
      <w:r>
        <w:t>ment</w:t>
      </w:r>
      <w:r w:rsidRPr="00006774">
        <w:t xml:space="preserve"> in bonds for </w:t>
      </w:r>
      <w:r w:rsidRPr="00006774">
        <w:lastRenderedPageBreak/>
        <w:t>commercial purposes where cash-flow permits but investments outside the current treasury management credit matrix will only be incurred after agreement with the Director of Finance</w:t>
      </w:r>
      <w:r>
        <w:t xml:space="preserve">. Under this arrangement investments have been made in local authority </w:t>
      </w:r>
      <w:r w:rsidR="001E589B" w:rsidRPr="001E589B">
        <w:t xml:space="preserve">Lender Option Borrower Option </w:t>
      </w:r>
      <w:r w:rsidR="001E589B">
        <w:t>(</w:t>
      </w:r>
      <w:r>
        <w:t>LOBO</w:t>
      </w:r>
      <w:r w:rsidR="001E589B">
        <w:t>)</w:t>
      </w:r>
      <w:r>
        <w:t xml:space="preserve"> loans and EDF (an energy company) corporate bonds. As change</w:t>
      </w:r>
      <w:r w:rsidR="001E589B">
        <w:t>s</w:t>
      </w:r>
      <w:r>
        <w:t xml:space="preserve"> in market values are charged the general fund, the council has entered into a short trade which means the council agree to buy some bonds at a specific price in the future. The net value of the non-treasury management investments at 31 March 2020 is £208.5m. Total investments at 31 March 2020 are therefore £1,116.3m.</w:t>
      </w:r>
    </w:p>
    <w:p w14:paraId="2D21E79E" w14:textId="77777777" w:rsidR="00DA5579" w:rsidRDefault="003A3CFD" w:rsidP="00DA5579">
      <w:pPr>
        <w:ind w:right="-153"/>
        <w:jc w:val="both"/>
      </w:pPr>
    </w:p>
    <w:p w14:paraId="2D21E79F" w14:textId="19A503C9" w:rsidR="00DA5579" w:rsidRPr="003E1326" w:rsidRDefault="0058317E" w:rsidP="00DA5579">
      <w:pPr>
        <w:ind w:right="-153"/>
        <w:jc w:val="both"/>
      </w:pPr>
      <w:r w:rsidRPr="003E1326">
        <w:t xml:space="preserve">In undertaking investments consideration is </w:t>
      </w:r>
      <w:r>
        <w:t>given to</w:t>
      </w:r>
      <w:r w:rsidRPr="003E1326">
        <w:t xml:space="preserve"> the risk and liquidity within the portfolio</w:t>
      </w:r>
      <w:r>
        <w:t xml:space="preserve"> which are affected by the</w:t>
      </w:r>
      <w:r w:rsidRPr="003E1326">
        <w:t xml:space="preserve"> maturity of the investment, asset type, country invested in and the credit rating.</w:t>
      </w:r>
      <w:r>
        <w:t xml:space="preserve"> This includes those that are deemed to be non- treasury investments</w:t>
      </w:r>
      <w:r w:rsidR="005F5EF1">
        <w:t>.</w:t>
      </w:r>
      <w:r w:rsidRPr="003E1326">
        <w:t xml:space="preserve"> The position of the investment portfolio on these areas are </w:t>
      </w:r>
      <w:r>
        <w:t>reviewed as follows</w:t>
      </w:r>
      <w:r w:rsidRPr="003E1326">
        <w:t>.</w:t>
      </w:r>
    </w:p>
    <w:p w14:paraId="2D21E7A0" w14:textId="77777777" w:rsidR="00DA5579" w:rsidRPr="00E8130F" w:rsidRDefault="003A3CFD" w:rsidP="00DA5579">
      <w:pPr>
        <w:ind w:right="-153"/>
        <w:jc w:val="both"/>
        <w:rPr>
          <w:szCs w:val="24"/>
          <w:highlight w:val="yellow"/>
        </w:rPr>
      </w:pPr>
    </w:p>
    <w:p w14:paraId="2D21E7A1" w14:textId="77777777" w:rsidR="00DA5579" w:rsidRDefault="0058317E" w:rsidP="00DA5579">
      <w:pPr>
        <w:ind w:right="-153"/>
        <w:jc w:val="both"/>
        <w:rPr>
          <w:b/>
          <w:szCs w:val="24"/>
        </w:rPr>
      </w:pPr>
      <w:r w:rsidRPr="00E3481C">
        <w:rPr>
          <w:b/>
          <w:szCs w:val="24"/>
        </w:rPr>
        <w:t xml:space="preserve">Investments by Maturity </w:t>
      </w:r>
    </w:p>
    <w:p w14:paraId="2D21E7A2" w14:textId="77777777" w:rsidR="00DA5579" w:rsidRPr="00E3481C" w:rsidRDefault="0058317E" w:rsidP="00DA5579">
      <w:pPr>
        <w:ind w:right="-153"/>
        <w:jc w:val="both"/>
        <w:rPr>
          <w:b/>
          <w:szCs w:val="24"/>
        </w:rPr>
      </w:pPr>
      <w:r>
        <w:rPr>
          <w:noProof/>
        </w:rPr>
        <w:drawing>
          <wp:inline distT="0" distB="0" distL="0" distR="0" wp14:anchorId="2D21E8B6" wp14:editId="2D21E8B7">
            <wp:extent cx="4219575" cy="2347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329304"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228140" cy="2351778"/>
                    </a:xfrm>
                    <a:prstGeom prst="rect">
                      <a:avLst/>
                    </a:prstGeom>
                    <a:noFill/>
                  </pic:spPr>
                </pic:pic>
              </a:graphicData>
            </a:graphic>
          </wp:inline>
        </w:drawing>
      </w:r>
    </w:p>
    <w:p w14:paraId="2D21E7A4" w14:textId="7A6D12EF" w:rsidR="00DA5579" w:rsidRPr="00E8130F" w:rsidRDefault="0058317E" w:rsidP="00DA5579">
      <w:pPr>
        <w:ind w:right="-153"/>
        <w:jc w:val="both"/>
        <w:rPr>
          <w:highlight w:val="yellow"/>
        </w:rPr>
      </w:pPr>
      <w:r w:rsidRPr="00E3481C">
        <w:t>The graph</w:t>
      </w:r>
      <w:r>
        <w:t xml:space="preserve"> </w:t>
      </w:r>
      <w:r w:rsidRPr="00E3481C">
        <w:t>shows the maturity dates of assets along with the exposure to bail-in</w:t>
      </w:r>
      <w:r w:rsidR="005F5EF1">
        <w:t>,</w:t>
      </w:r>
      <w:r w:rsidRPr="00E3481C">
        <w:t xml:space="preserve"> in the event of a bank default (i.e. the risk that the investment may be lost or the principal repaid significantly reduced). As can be seen the exposure to bail</w:t>
      </w:r>
      <w:r w:rsidR="005F5EF1">
        <w:t>-</w:t>
      </w:r>
      <w:r w:rsidRPr="00E3481C">
        <w:t xml:space="preserve">in is relatively low and arises mainly in the short term with the use of call accounts. The very long term investments are principally investment in the UK government via Gilts. Therefore the credit risk is low </w:t>
      </w:r>
      <w:r>
        <w:t>and</w:t>
      </w:r>
      <w:r w:rsidRPr="00E3481C">
        <w:t xml:space="preserve"> the assets are saleable and do not have to be held to maturity thereby allowing the market risk to be managed. </w:t>
      </w:r>
    </w:p>
    <w:p w14:paraId="2D21E7A5" w14:textId="77777777" w:rsidR="00DA5579" w:rsidRDefault="003A3CFD" w:rsidP="00DA5579">
      <w:pPr>
        <w:ind w:right="-153"/>
        <w:jc w:val="center"/>
        <w:rPr>
          <w:b/>
          <w:szCs w:val="24"/>
          <w:highlight w:val="yellow"/>
        </w:rPr>
      </w:pPr>
    </w:p>
    <w:p w14:paraId="2D21E7A6" w14:textId="77777777" w:rsidR="00DA5579" w:rsidRPr="00E3481C" w:rsidRDefault="0058317E" w:rsidP="00DA5579">
      <w:pPr>
        <w:ind w:right="-153"/>
        <w:jc w:val="both"/>
        <w:rPr>
          <w:b/>
          <w:szCs w:val="24"/>
        </w:rPr>
      </w:pPr>
      <w:r w:rsidRPr="000B2985">
        <w:rPr>
          <w:b/>
          <w:sz w:val="20"/>
        </w:rPr>
        <w:t>Total investments analysed by asset type</w:t>
      </w:r>
      <w:r>
        <w:rPr>
          <w:b/>
          <w:sz w:val="20"/>
        </w:rPr>
        <w:tab/>
      </w:r>
      <w:r>
        <w:rPr>
          <w:b/>
          <w:sz w:val="20"/>
        </w:rPr>
        <w:tab/>
      </w:r>
      <w:r w:rsidRPr="000B2985">
        <w:rPr>
          <w:b/>
          <w:sz w:val="20"/>
        </w:rPr>
        <w:t>Total Investments analysed by Country</w:t>
      </w:r>
    </w:p>
    <w:p w14:paraId="2D21E7A7" w14:textId="77777777" w:rsidR="00DA5579" w:rsidRPr="000B2985" w:rsidRDefault="0058317E" w:rsidP="00DA5579">
      <w:pPr>
        <w:ind w:right="-153"/>
        <w:jc w:val="both"/>
        <w:rPr>
          <w:b/>
          <w:sz w:val="20"/>
        </w:rPr>
      </w:pPr>
      <w:r>
        <w:rPr>
          <w:noProof/>
        </w:rPr>
        <w:drawing>
          <wp:inline distT="0" distB="0" distL="0" distR="0" wp14:anchorId="2D21E8B8" wp14:editId="2D21E8B9">
            <wp:extent cx="2435812" cy="17907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7718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83675" cy="1825886"/>
                    </a:xfrm>
                    <a:prstGeom prst="rect">
                      <a:avLst/>
                    </a:prstGeom>
                    <a:noFill/>
                  </pic:spPr>
                </pic:pic>
              </a:graphicData>
            </a:graphic>
          </wp:inline>
        </w:drawing>
      </w:r>
      <w:r>
        <w:rPr>
          <w:noProof/>
        </w:rPr>
        <w:t xml:space="preserve">             </w:t>
      </w:r>
      <w:r>
        <w:rPr>
          <w:noProof/>
        </w:rPr>
        <w:drawing>
          <wp:inline distT="0" distB="0" distL="0" distR="0" wp14:anchorId="2D21E8BA" wp14:editId="2D21E8BB">
            <wp:extent cx="2352675" cy="19331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157657"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20587" cy="1988959"/>
                    </a:xfrm>
                    <a:prstGeom prst="rect">
                      <a:avLst/>
                    </a:prstGeom>
                    <a:noFill/>
                  </pic:spPr>
                </pic:pic>
              </a:graphicData>
            </a:graphic>
          </wp:inline>
        </w:drawing>
      </w:r>
    </w:p>
    <w:p w14:paraId="2D21E7A8" w14:textId="77777777" w:rsidR="00DA5579" w:rsidRPr="000B2985" w:rsidRDefault="0058317E" w:rsidP="00DA5579">
      <w:pPr>
        <w:ind w:right="-153"/>
        <w:jc w:val="both"/>
        <w:rPr>
          <w:b/>
          <w:sz w:val="20"/>
          <w:szCs w:val="24"/>
        </w:rPr>
      </w:pPr>
      <w:r w:rsidRPr="000B2985">
        <w:rPr>
          <w:b/>
          <w:sz w:val="20"/>
          <w:szCs w:val="24"/>
        </w:rPr>
        <w:lastRenderedPageBreak/>
        <w:t>Total Investments analysed by credit rating</w:t>
      </w:r>
    </w:p>
    <w:p w14:paraId="2D21E7A9" w14:textId="77777777" w:rsidR="00DA5579" w:rsidRDefault="003A3CFD" w:rsidP="00DA5579">
      <w:pPr>
        <w:ind w:right="-153"/>
        <w:jc w:val="both"/>
        <w:rPr>
          <w:b/>
          <w:szCs w:val="24"/>
          <w:highlight w:val="yellow"/>
        </w:rPr>
      </w:pPr>
    </w:p>
    <w:p w14:paraId="2D21E7AA" w14:textId="77777777" w:rsidR="00DA5579" w:rsidRDefault="0058317E" w:rsidP="00DA5579">
      <w:pPr>
        <w:ind w:right="-153"/>
        <w:jc w:val="both"/>
        <w:rPr>
          <w:b/>
          <w:szCs w:val="24"/>
          <w:highlight w:val="yellow"/>
        </w:rPr>
      </w:pPr>
      <w:r>
        <w:rPr>
          <w:noProof/>
        </w:rPr>
        <w:drawing>
          <wp:inline distT="0" distB="0" distL="0" distR="0" wp14:anchorId="2D21E8BC" wp14:editId="523CFA35">
            <wp:extent cx="2432589" cy="2114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919175"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45383" cy="2125671"/>
                    </a:xfrm>
                    <a:prstGeom prst="rect">
                      <a:avLst/>
                    </a:prstGeom>
                    <a:noFill/>
                  </pic:spPr>
                </pic:pic>
              </a:graphicData>
            </a:graphic>
          </wp:inline>
        </w:drawing>
      </w:r>
    </w:p>
    <w:p w14:paraId="2D21E7AB" w14:textId="77777777" w:rsidR="00DA5579" w:rsidRPr="000B2985" w:rsidRDefault="0058317E" w:rsidP="00DA5579">
      <w:pPr>
        <w:ind w:right="-153"/>
        <w:jc w:val="both"/>
        <w:rPr>
          <w:b/>
          <w:szCs w:val="24"/>
        </w:rPr>
      </w:pPr>
      <w:r w:rsidRPr="000B2985">
        <w:rPr>
          <w:b/>
          <w:szCs w:val="24"/>
        </w:rPr>
        <w:t>Security</w:t>
      </w:r>
    </w:p>
    <w:p w14:paraId="2D21E7AC" w14:textId="77777777" w:rsidR="00DA5579" w:rsidRPr="00E8130F" w:rsidRDefault="003A3CFD" w:rsidP="00DA5579">
      <w:pPr>
        <w:ind w:right="-153"/>
        <w:jc w:val="both"/>
        <w:rPr>
          <w:b/>
          <w:szCs w:val="24"/>
          <w:highlight w:val="yellow"/>
        </w:rPr>
      </w:pPr>
    </w:p>
    <w:p w14:paraId="2D21E7AD" w14:textId="3E5E1D52" w:rsidR="00DA5579" w:rsidRPr="003E1326" w:rsidRDefault="0058317E" w:rsidP="00DA5579">
      <w:pPr>
        <w:jc w:val="both"/>
      </w:pPr>
      <w:r w:rsidRPr="003E1326">
        <w:t xml:space="preserve">Security of capital remained the </w:t>
      </w:r>
      <w:r>
        <w:t>council's</w:t>
      </w:r>
      <w:r w:rsidRPr="003E1326">
        <w:t xml:space="preserve"> main investment objective.</w:t>
      </w:r>
      <w:r>
        <w:t xml:space="preserve"> </w:t>
      </w:r>
      <w:r w:rsidRPr="003E1326">
        <w:t xml:space="preserve">This was maintained by following the </w:t>
      </w:r>
      <w:r>
        <w:t>council's</w:t>
      </w:r>
      <w:r w:rsidRPr="003E1326">
        <w:t xml:space="preserve"> Counterparty Policy, as set out in its Treasury Management Strategy Statement for 201</w:t>
      </w:r>
      <w:r>
        <w:t>9</w:t>
      </w:r>
      <w:r w:rsidRPr="003E1326">
        <w:t>/</w:t>
      </w:r>
      <w:r>
        <w:t>20</w:t>
      </w:r>
      <w:r w:rsidRPr="003E1326">
        <w:t>. This defined “high credit quality” organisations as those having a minimum long-term credit rating of A+</w:t>
      </w:r>
      <w:r>
        <w:t>.</w:t>
      </w:r>
      <w:r w:rsidRPr="003E1326">
        <w:t xml:space="preserve"> In practice</w:t>
      </w:r>
      <w:r w:rsidR="005F5EF1">
        <w:t>,</w:t>
      </w:r>
      <w:r w:rsidRPr="003E1326">
        <w:t xml:space="preserve"> the average credit rating in 201</w:t>
      </w:r>
      <w:r>
        <w:t>9</w:t>
      </w:r>
      <w:r w:rsidRPr="003E1326">
        <w:t>/</w:t>
      </w:r>
      <w:r>
        <w:t>20</w:t>
      </w:r>
      <w:r w:rsidRPr="003E1326">
        <w:t xml:space="preserve"> was higher at AA.  </w:t>
      </w:r>
    </w:p>
    <w:p w14:paraId="2D21E7AE" w14:textId="77777777" w:rsidR="00DA5579" w:rsidRDefault="003A3CFD" w:rsidP="00DA5579">
      <w:pPr>
        <w:jc w:val="both"/>
      </w:pPr>
    </w:p>
    <w:p w14:paraId="2D21E7AF" w14:textId="77777777" w:rsidR="00DA5579" w:rsidRPr="00833073" w:rsidRDefault="0058317E" w:rsidP="00DA5579">
      <w:pPr>
        <w:jc w:val="both"/>
      </w:pPr>
      <w:r w:rsidRPr="00833073">
        <w:t>Investments with banks were held in call accounts only. Any longer term deposits have been restricted to</w:t>
      </w:r>
      <w:r>
        <w:t xml:space="preserve"> deposits with</w:t>
      </w:r>
      <w:r w:rsidRPr="00833073">
        <w:t xml:space="preserve"> other local authorities.</w:t>
      </w:r>
    </w:p>
    <w:p w14:paraId="2D21E7B0" w14:textId="77777777" w:rsidR="00DA5579" w:rsidRDefault="003A3CFD" w:rsidP="00DA5579">
      <w:pPr>
        <w:keepNext/>
        <w:widowControl w:val="0"/>
        <w:jc w:val="both"/>
        <w:rPr>
          <w:b/>
        </w:rPr>
      </w:pPr>
    </w:p>
    <w:p w14:paraId="2D21E7B1" w14:textId="77777777" w:rsidR="00DA5579" w:rsidRPr="00860FCC" w:rsidRDefault="0058317E" w:rsidP="00DA5579">
      <w:pPr>
        <w:keepNext/>
        <w:widowControl w:val="0"/>
        <w:jc w:val="both"/>
        <w:rPr>
          <w:b/>
        </w:rPr>
      </w:pPr>
      <w:r w:rsidRPr="00860FCC">
        <w:rPr>
          <w:b/>
        </w:rPr>
        <w:t>Liquidity Management</w:t>
      </w:r>
    </w:p>
    <w:p w14:paraId="2D21E7B2" w14:textId="77777777" w:rsidR="00DA5579" w:rsidRPr="00860FCC" w:rsidRDefault="003A3CFD" w:rsidP="00DA5579">
      <w:pPr>
        <w:keepNext/>
        <w:widowControl w:val="0"/>
        <w:jc w:val="both"/>
        <w:rPr>
          <w:b/>
        </w:rPr>
      </w:pPr>
    </w:p>
    <w:p w14:paraId="2D21E7B3" w14:textId="77777777" w:rsidR="00DA5579" w:rsidRPr="00860FCC" w:rsidRDefault="0058317E" w:rsidP="00DA5579">
      <w:pPr>
        <w:autoSpaceDE w:val="0"/>
        <w:autoSpaceDN w:val="0"/>
        <w:adjustRightInd w:val="0"/>
        <w:jc w:val="both"/>
        <w:rPr>
          <w:rFonts w:cs="Arial"/>
          <w:szCs w:val="24"/>
        </w:rPr>
      </w:pPr>
      <w:r>
        <w:rPr>
          <w:rFonts w:cs="Arial"/>
        </w:rPr>
        <w:t>T</w:t>
      </w:r>
      <w:r w:rsidRPr="00860FCC">
        <w:rPr>
          <w:rFonts w:cs="Arial"/>
        </w:rPr>
        <w:t xml:space="preserve">he </w:t>
      </w:r>
      <w:r>
        <w:rPr>
          <w:rFonts w:cs="Arial"/>
        </w:rPr>
        <w:t>c</w:t>
      </w:r>
      <w:r w:rsidRPr="00860FCC">
        <w:rPr>
          <w:rFonts w:cs="Arial"/>
        </w:rPr>
        <w:t xml:space="preserve">ouncil maintained a minimum level of primary liquidity through the use of Call Accounts. The </w:t>
      </w:r>
      <w:r>
        <w:rPr>
          <w:rFonts w:cs="Arial"/>
        </w:rPr>
        <w:t>c</w:t>
      </w:r>
      <w:r w:rsidRPr="00860FCC">
        <w:rPr>
          <w:rFonts w:cs="Arial"/>
        </w:rPr>
        <w:t>ouncil also has</w:t>
      </w:r>
      <w:r w:rsidRPr="00860FCC">
        <w:rPr>
          <w:rFonts w:cs="Arial"/>
          <w:szCs w:val="24"/>
        </w:rPr>
        <w:t xml:space="preserve"> bond portfolios which are available for sale, at current market prices, if needed as “secondary” liquidity.</w:t>
      </w:r>
    </w:p>
    <w:p w14:paraId="2D21E7B4" w14:textId="77777777" w:rsidR="00DA5579" w:rsidRPr="00860FCC" w:rsidRDefault="003A3CFD" w:rsidP="00DA5579">
      <w:pPr>
        <w:autoSpaceDE w:val="0"/>
        <w:autoSpaceDN w:val="0"/>
        <w:adjustRightInd w:val="0"/>
        <w:jc w:val="both"/>
        <w:rPr>
          <w:rFonts w:cs="Arial"/>
          <w:szCs w:val="24"/>
        </w:rPr>
      </w:pPr>
    </w:p>
    <w:p w14:paraId="2D21E7B5" w14:textId="77777777" w:rsidR="00DA5579" w:rsidRPr="00860FCC" w:rsidRDefault="0058317E" w:rsidP="00DA5579">
      <w:pPr>
        <w:autoSpaceDE w:val="0"/>
        <w:autoSpaceDN w:val="0"/>
        <w:adjustRightInd w:val="0"/>
        <w:jc w:val="both"/>
        <w:rPr>
          <w:rFonts w:cs="Arial"/>
        </w:rPr>
      </w:pPr>
      <w:r w:rsidRPr="00860FCC">
        <w:rPr>
          <w:rFonts w:cs="Arial"/>
        </w:rPr>
        <w:t xml:space="preserve">The </w:t>
      </w:r>
      <w:r>
        <w:rPr>
          <w:rFonts w:cs="Arial"/>
        </w:rPr>
        <w:t>c</w:t>
      </w:r>
      <w:r w:rsidRPr="00860FCC">
        <w:rPr>
          <w:rFonts w:cs="Arial"/>
        </w:rPr>
        <w:t xml:space="preserve">ouncil undertakes cash flow forecasting daily to determine the maximum period for which funds may prudently be committed. </w:t>
      </w:r>
    </w:p>
    <w:p w14:paraId="2D21E7B6" w14:textId="77777777" w:rsidR="00DA5579" w:rsidRPr="00E8130F" w:rsidRDefault="003A3CFD" w:rsidP="00DA5579">
      <w:pPr>
        <w:jc w:val="both"/>
        <w:rPr>
          <w:rFonts w:ascii="Trebuchet MS" w:hAnsi="Trebuchet MS" w:cs="Trebuchet MS"/>
          <w:sz w:val="20"/>
          <w:highlight w:val="yellow"/>
        </w:rPr>
      </w:pPr>
    </w:p>
    <w:p w14:paraId="2D21E7B7" w14:textId="77777777" w:rsidR="00DA5579" w:rsidRPr="00EC63BC" w:rsidRDefault="0058317E" w:rsidP="00DA5579">
      <w:pPr>
        <w:keepNext/>
        <w:widowControl w:val="0"/>
        <w:spacing w:after="120"/>
        <w:jc w:val="both"/>
        <w:rPr>
          <w:b/>
        </w:rPr>
      </w:pPr>
      <w:r w:rsidRPr="00EC63BC">
        <w:rPr>
          <w:b/>
        </w:rPr>
        <w:t xml:space="preserve">Yield </w:t>
      </w:r>
    </w:p>
    <w:p w14:paraId="2D21E7B8" w14:textId="593FD497" w:rsidR="00DA5579" w:rsidRPr="00EC63BC" w:rsidRDefault="0058317E" w:rsidP="00DA5579">
      <w:pPr>
        <w:jc w:val="both"/>
        <w:rPr>
          <w:rFonts w:cs="Arial"/>
        </w:rPr>
      </w:pPr>
      <w:r w:rsidRPr="00EC63BC">
        <w:rPr>
          <w:rFonts w:cs="Arial"/>
        </w:rPr>
        <w:t xml:space="preserve">The rates of return on the </w:t>
      </w:r>
      <w:r>
        <w:rPr>
          <w:rFonts w:cs="Arial"/>
        </w:rPr>
        <w:t>c</w:t>
      </w:r>
      <w:r w:rsidRPr="00EC63BC">
        <w:rPr>
          <w:rFonts w:cs="Arial"/>
        </w:rPr>
        <w:t>ouncil's short-dated money market investments</w:t>
      </w:r>
      <w:r w:rsidR="005F5EF1">
        <w:rPr>
          <w:rFonts w:cs="Arial"/>
        </w:rPr>
        <w:t>,</w:t>
      </w:r>
      <w:r w:rsidRPr="00EC63BC">
        <w:rPr>
          <w:rFonts w:cs="Arial"/>
        </w:rPr>
        <w:t xml:space="preserve"> reflect prevailing market conditions and the </w:t>
      </w:r>
      <w:r>
        <w:rPr>
          <w:rFonts w:cs="Arial"/>
        </w:rPr>
        <w:t>c</w:t>
      </w:r>
      <w:r w:rsidRPr="00EC63BC">
        <w:rPr>
          <w:rFonts w:cs="Arial"/>
        </w:rPr>
        <w:t xml:space="preserve">ouncil's objective of optimising returns commensurate with the principles of security and liquidity. </w:t>
      </w:r>
    </w:p>
    <w:p w14:paraId="2D21E7B9" w14:textId="77777777" w:rsidR="00DA5579" w:rsidRPr="00EC63BC" w:rsidRDefault="003A3CFD" w:rsidP="00DA5579">
      <w:pPr>
        <w:jc w:val="both"/>
        <w:rPr>
          <w:rFonts w:cs="Arial"/>
          <w:sz w:val="20"/>
        </w:rPr>
      </w:pPr>
    </w:p>
    <w:p w14:paraId="2D21E7C0" w14:textId="6BE8CE43" w:rsidR="00DA5579" w:rsidRDefault="0058317E" w:rsidP="00DA5579">
      <w:pPr>
        <w:jc w:val="both"/>
      </w:pPr>
      <w:r w:rsidRPr="00EC63BC">
        <w:rPr>
          <w:rFonts w:cs="Arial"/>
        </w:rPr>
        <w:t xml:space="preserve">Overall the </w:t>
      </w:r>
      <w:r>
        <w:rPr>
          <w:rFonts w:cs="Arial"/>
        </w:rPr>
        <w:t xml:space="preserve">treasury management </w:t>
      </w:r>
      <w:r w:rsidRPr="00EC63BC">
        <w:rPr>
          <w:rFonts w:cs="Arial"/>
        </w:rPr>
        <w:t xml:space="preserve">investment portfolios returned an average rate of </w:t>
      </w:r>
      <w:r w:rsidRPr="003F1BB6">
        <w:rPr>
          <w:rFonts w:cs="Arial"/>
        </w:rPr>
        <w:t>5.73% in 2019/20 which can be attributed to the categories as follows:</w:t>
      </w:r>
      <w:r w:rsidRPr="00EC63BC">
        <w:rPr>
          <w:rFonts w:cs="Arial"/>
        </w:rPr>
        <w:t xml:space="preserve"> </w:t>
      </w:r>
      <w:r w:rsidRPr="00EC63BC">
        <w:t xml:space="preserve"> </w:t>
      </w:r>
    </w:p>
    <w:p w14:paraId="5D3DD3F4" w14:textId="77777777" w:rsidR="005F5EF1" w:rsidRPr="00EC63BC" w:rsidRDefault="005F5EF1" w:rsidP="00DA5579">
      <w:pPr>
        <w:jc w:val="both"/>
      </w:pPr>
    </w:p>
    <w:tbl>
      <w:tblPr>
        <w:tblW w:w="9356" w:type="dxa"/>
        <w:tblInd w:w="-10" w:type="dxa"/>
        <w:tblLook w:val="04A0" w:firstRow="1" w:lastRow="0" w:firstColumn="1" w:lastColumn="0" w:noHBand="0" w:noVBand="1"/>
      </w:tblPr>
      <w:tblGrid>
        <w:gridCol w:w="4678"/>
        <w:gridCol w:w="2693"/>
        <w:gridCol w:w="1985"/>
      </w:tblGrid>
      <w:tr w:rsidR="006619F2" w14:paraId="2D21E7C5" w14:textId="77777777" w:rsidTr="005F5EF1">
        <w:trPr>
          <w:trHeight w:val="315"/>
        </w:trPr>
        <w:tc>
          <w:tcPr>
            <w:tcW w:w="4678" w:type="dxa"/>
            <w:tcBorders>
              <w:top w:val="single" w:sz="8" w:space="0" w:color="000000"/>
              <w:left w:val="single" w:sz="8" w:space="0" w:color="000000"/>
              <w:bottom w:val="single" w:sz="8" w:space="0" w:color="000000"/>
              <w:right w:val="single" w:sz="8" w:space="0" w:color="000000"/>
            </w:tcBorders>
            <w:shd w:val="clear" w:color="auto" w:fill="auto"/>
            <w:noWrap/>
            <w:hideMark/>
          </w:tcPr>
          <w:p w14:paraId="2D21E7C1" w14:textId="77777777" w:rsidR="00DA5579" w:rsidRPr="003F1BB6" w:rsidRDefault="0058317E" w:rsidP="00DA5579">
            <w:pPr>
              <w:rPr>
                <w:rFonts w:cs="Arial"/>
                <w:b/>
                <w:bCs/>
                <w:color w:val="000000"/>
                <w:szCs w:val="24"/>
              </w:rPr>
            </w:pPr>
            <w:r w:rsidRPr="003F1BB6">
              <w:rPr>
                <w:b/>
                <w:szCs w:val="24"/>
              </w:rPr>
              <w:t>Maturity Range</w:t>
            </w:r>
          </w:p>
        </w:tc>
        <w:tc>
          <w:tcPr>
            <w:tcW w:w="2693" w:type="dxa"/>
            <w:tcBorders>
              <w:top w:val="single" w:sz="8" w:space="0" w:color="000000"/>
              <w:left w:val="nil"/>
              <w:bottom w:val="single" w:sz="8" w:space="0" w:color="000000"/>
              <w:right w:val="nil"/>
            </w:tcBorders>
            <w:shd w:val="clear" w:color="auto" w:fill="auto"/>
            <w:noWrap/>
            <w:hideMark/>
          </w:tcPr>
          <w:p w14:paraId="2D21E7C3" w14:textId="7231AAFD" w:rsidR="00DA5579" w:rsidRPr="003F1BB6" w:rsidRDefault="0058317E" w:rsidP="005F5EF1">
            <w:pPr>
              <w:jc w:val="center"/>
              <w:rPr>
                <w:rFonts w:cs="Arial"/>
                <w:b/>
                <w:bCs/>
                <w:color w:val="000000"/>
                <w:szCs w:val="24"/>
              </w:rPr>
            </w:pPr>
            <w:r w:rsidRPr="003F1BB6">
              <w:rPr>
                <w:b/>
                <w:szCs w:val="24"/>
              </w:rPr>
              <w:t>Average Balance £m</w:t>
            </w:r>
          </w:p>
        </w:tc>
        <w:tc>
          <w:tcPr>
            <w:tcW w:w="1985" w:type="dxa"/>
            <w:tcBorders>
              <w:top w:val="single" w:sz="8" w:space="0" w:color="auto"/>
              <w:left w:val="single" w:sz="8" w:space="0" w:color="auto"/>
              <w:bottom w:val="single" w:sz="8" w:space="0" w:color="000000"/>
              <w:right w:val="single" w:sz="8" w:space="0" w:color="auto"/>
            </w:tcBorders>
            <w:shd w:val="clear" w:color="auto" w:fill="auto"/>
            <w:noWrap/>
            <w:hideMark/>
          </w:tcPr>
          <w:p w14:paraId="2D21E7C4" w14:textId="01F03CD4" w:rsidR="00DA5579" w:rsidRPr="003F1BB6" w:rsidRDefault="0058317E" w:rsidP="005F5EF1">
            <w:pPr>
              <w:jc w:val="center"/>
              <w:rPr>
                <w:rFonts w:cs="Arial"/>
                <w:b/>
                <w:bCs/>
                <w:color w:val="000000"/>
                <w:szCs w:val="24"/>
              </w:rPr>
            </w:pPr>
            <w:r w:rsidRPr="003F1BB6">
              <w:rPr>
                <w:b/>
                <w:szCs w:val="24"/>
              </w:rPr>
              <w:t xml:space="preserve">Average </w:t>
            </w:r>
            <w:r w:rsidR="005F5EF1">
              <w:rPr>
                <w:b/>
                <w:szCs w:val="24"/>
              </w:rPr>
              <w:t>R</w:t>
            </w:r>
            <w:r w:rsidRPr="003F1BB6">
              <w:rPr>
                <w:b/>
                <w:szCs w:val="24"/>
              </w:rPr>
              <w:t>ate</w:t>
            </w:r>
          </w:p>
        </w:tc>
      </w:tr>
      <w:tr w:rsidR="006619F2" w14:paraId="2D21E7CA" w14:textId="77777777" w:rsidTr="005F5EF1">
        <w:trPr>
          <w:trHeight w:val="315"/>
        </w:trPr>
        <w:tc>
          <w:tcPr>
            <w:tcW w:w="4678" w:type="dxa"/>
            <w:tcBorders>
              <w:top w:val="nil"/>
              <w:left w:val="single" w:sz="8" w:space="0" w:color="000000"/>
              <w:bottom w:val="single" w:sz="8" w:space="0" w:color="000000"/>
              <w:right w:val="single" w:sz="8" w:space="0" w:color="000000"/>
            </w:tcBorders>
            <w:shd w:val="clear" w:color="auto" w:fill="auto"/>
            <w:noWrap/>
            <w:hideMark/>
          </w:tcPr>
          <w:p w14:paraId="2D21E7C6" w14:textId="77777777" w:rsidR="00DA5579" w:rsidRPr="003F1BB6" w:rsidRDefault="0058317E" w:rsidP="00DA5579">
            <w:pPr>
              <w:rPr>
                <w:rFonts w:cs="Arial"/>
                <w:color w:val="000000"/>
                <w:szCs w:val="24"/>
              </w:rPr>
            </w:pPr>
            <w:r w:rsidRPr="003F1BB6">
              <w:rPr>
                <w:szCs w:val="24"/>
              </w:rPr>
              <w:t>Call and under 1 year</w:t>
            </w:r>
          </w:p>
        </w:tc>
        <w:tc>
          <w:tcPr>
            <w:tcW w:w="2693" w:type="dxa"/>
            <w:tcBorders>
              <w:top w:val="nil"/>
              <w:left w:val="nil"/>
              <w:bottom w:val="single" w:sz="8" w:space="0" w:color="000000"/>
              <w:right w:val="single" w:sz="8" w:space="0" w:color="auto"/>
            </w:tcBorders>
            <w:shd w:val="clear" w:color="auto" w:fill="auto"/>
            <w:noWrap/>
          </w:tcPr>
          <w:p w14:paraId="2D21E7C7" w14:textId="77777777" w:rsidR="00DA5579" w:rsidRPr="003F1BB6" w:rsidRDefault="0058317E" w:rsidP="00E877F4">
            <w:pPr>
              <w:jc w:val="center"/>
              <w:rPr>
                <w:rFonts w:cs="Arial"/>
                <w:color w:val="000000"/>
                <w:szCs w:val="24"/>
              </w:rPr>
            </w:pPr>
            <w:r w:rsidRPr="003F1BB6">
              <w:rPr>
                <w:rFonts w:cs="Arial"/>
                <w:color w:val="000000"/>
                <w:szCs w:val="24"/>
              </w:rPr>
              <w:t>119.4</w:t>
            </w:r>
          </w:p>
        </w:tc>
        <w:tc>
          <w:tcPr>
            <w:tcW w:w="1985" w:type="dxa"/>
            <w:tcBorders>
              <w:top w:val="nil"/>
              <w:left w:val="nil"/>
              <w:bottom w:val="single" w:sz="8" w:space="0" w:color="000000"/>
              <w:right w:val="single" w:sz="8" w:space="0" w:color="auto"/>
            </w:tcBorders>
            <w:shd w:val="clear" w:color="auto" w:fill="auto"/>
            <w:noWrap/>
          </w:tcPr>
          <w:p w14:paraId="2D21E7C9" w14:textId="57A74A43" w:rsidR="00DA5579" w:rsidRPr="003F1BB6" w:rsidRDefault="0058317E" w:rsidP="005F5EF1">
            <w:pPr>
              <w:jc w:val="center"/>
              <w:rPr>
                <w:rFonts w:cs="Arial"/>
                <w:color w:val="000000"/>
                <w:szCs w:val="24"/>
              </w:rPr>
            </w:pPr>
            <w:r w:rsidRPr="003F1BB6">
              <w:rPr>
                <w:rFonts w:cs="Arial"/>
                <w:color w:val="000000"/>
                <w:szCs w:val="24"/>
              </w:rPr>
              <w:t>0.37%</w:t>
            </w:r>
          </w:p>
        </w:tc>
      </w:tr>
      <w:tr w:rsidR="006619F2" w14:paraId="2D21E7CF" w14:textId="77777777" w:rsidTr="005F5EF1">
        <w:trPr>
          <w:trHeight w:val="315"/>
        </w:trPr>
        <w:tc>
          <w:tcPr>
            <w:tcW w:w="4678" w:type="dxa"/>
            <w:tcBorders>
              <w:top w:val="nil"/>
              <w:left w:val="single" w:sz="8" w:space="0" w:color="000000"/>
              <w:bottom w:val="single" w:sz="8" w:space="0" w:color="000000"/>
              <w:right w:val="single" w:sz="8" w:space="0" w:color="000000"/>
            </w:tcBorders>
            <w:shd w:val="clear" w:color="auto" w:fill="auto"/>
            <w:noWrap/>
            <w:hideMark/>
          </w:tcPr>
          <w:p w14:paraId="2D21E7CB" w14:textId="77777777" w:rsidR="00DA5579" w:rsidRPr="003F1BB6" w:rsidRDefault="0058317E" w:rsidP="00DA5579">
            <w:pPr>
              <w:rPr>
                <w:rFonts w:cs="Arial"/>
                <w:color w:val="000000"/>
                <w:szCs w:val="24"/>
              </w:rPr>
            </w:pPr>
            <w:r w:rsidRPr="003F1BB6">
              <w:rPr>
                <w:szCs w:val="24"/>
              </w:rPr>
              <w:t xml:space="preserve">Bank </w:t>
            </w:r>
            <w:r>
              <w:rPr>
                <w:szCs w:val="24"/>
              </w:rPr>
              <w:t>&amp;</w:t>
            </w:r>
            <w:r w:rsidRPr="003F1BB6">
              <w:rPr>
                <w:szCs w:val="24"/>
              </w:rPr>
              <w:t xml:space="preserve"> local authority deposits 3-5 years</w:t>
            </w:r>
          </w:p>
        </w:tc>
        <w:tc>
          <w:tcPr>
            <w:tcW w:w="2693" w:type="dxa"/>
            <w:tcBorders>
              <w:top w:val="nil"/>
              <w:left w:val="nil"/>
              <w:bottom w:val="single" w:sz="8" w:space="0" w:color="000000"/>
              <w:right w:val="single" w:sz="8" w:space="0" w:color="auto"/>
            </w:tcBorders>
            <w:shd w:val="clear" w:color="auto" w:fill="auto"/>
            <w:noWrap/>
          </w:tcPr>
          <w:p w14:paraId="2D21E7CC" w14:textId="77777777" w:rsidR="00DA5579" w:rsidRPr="003F1BB6" w:rsidRDefault="0058317E" w:rsidP="00E877F4">
            <w:pPr>
              <w:jc w:val="center"/>
              <w:rPr>
                <w:rFonts w:cs="Arial"/>
                <w:color w:val="000000"/>
                <w:szCs w:val="24"/>
              </w:rPr>
            </w:pPr>
            <w:r w:rsidRPr="003F1BB6">
              <w:rPr>
                <w:rFonts w:cs="Arial"/>
                <w:color w:val="000000"/>
                <w:szCs w:val="24"/>
              </w:rPr>
              <w:t>10.0</w:t>
            </w:r>
          </w:p>
        </w:tc>
        <w:tc>
          <w:tcPr>
            <w:tcW w:w="1985" w:type="dxa"/>
            <w:tcBorders>
              <w:top w:val="nil"/>
              <w:left w:val="nil"/>
              <w:bottom w:val="single" w:sz="8" w:space="0" w:color="000000"/>
              <w:right w:val="single" w:sz="8" w:space="0" w:color="auto"/>
            </w:tcBorders>
            <w:shd w:val="clear" w:color="auto" w:fill="auto"/>
            <w:noWrap/>
          </w:tcPr>
          <w:p w14:paraId="2D21E7CE" w14:textId="0BCC439C" w:rsidR="00DA5579" w:rsidRPr="003F1BB6" w:rsidRDefault="0058317E" w:rsidP="005F5EF1">
            <w:pPr>
              <w:jc w:val="center"/>
              <w:rPr>
                <w:rFonts w:cs="Arial"/>
                <w:color w:val="000000"/>
                <w:szCs w:val="24"/>
              </w:rPr>
            </w:pPr>
            <w:r w:rsidRPr="003F1BB6">
              <w:rPr>
                <w:rFonts w:cs="Arial"/>
                <w:color w:val="000000"/>
                <w:szCs w:val="24"/>
              </w:rPr>
              <w:t>2.95%</w:t>
            </w:r>
          </w:p>
        </w:tc>
      </w:tr>
      <w:tr w:rsidR="006619F2" w14:paraId="2D21E7D4" w14:textId="77777777" w:rsidTr="005F5EF1">
        <w:trPr>
          <w:trHeight w:val="315"/>
        </w:trPr>
        <w:tc>
          <w:tcPr>
            <w:tcW w:w="4678" w:type="dxa"/>
            <w:tcBorders>
              <w:top w:val="nil"/>
              <w:left w:val="single" w:sz="8" w:space="0" w:color="000000"/>
              <w:bottom w:val="single" w:sz="8" w:space="0" w:color="000000"/>
              <w:right w:val="single" w:sz="8" w:space="0" w:color="000000"/>
            </w:tcBorders>
            <w:shd w:val="clear" w:color="auto" w:fill="auto"/>
            <w:noWrap/>
            <w:hideMark/>
          </w:tcPr>
          <w:p w14:paraId="2D21E7D0" w14:textId="77777777" w:rsidR="00DA5579" w:rsidRPr="003F1BB6" w:rsidRDefault="0058317E" w:rsidP="00DA5579">
            <w:pPr>
              <w:rPr>
                <w:rFonts w:cs="Arial"/>
                <w:color w:val="000000"/>
                <w:szCs w:val="24"/>
              </w:rPr>
            </w:pPr>
            <w:r w:rsidRPr="003F1BB6">
              <w:rPr>
                <w:szCs w:val="24"/>
              </w:rPr>
              <w:t>Bank &amp; local authority deposits 5 years +</w:t>
            </w:r>
          </w:p>
        </w:tc>
        <w:tc>
          <w:tcPr>
            <w:tcW w:w="2693" w:type="dxa"/>
            <w:tcBorders>
              <w:top w:val="nil"/>
              <w:left w:val="nil"/>
              <w:bottom w:val="single" w:sz="8" w:space="0" w:color="000000"/>
              <w:right w:val="single" w:sz="8" w:space="0" w:color="auto"/>
            </w:tcBorders>
            <w:shd w:val="clear" w:color="auto" w:fill="auto"/>
            <w:noWrap/>
          </w:tcPr>
          <w:p w14:paraId="2D21E7D1" w14:textId="77777777" w:rsidR="00DA5579" w:rsidRPr="003F1BB6" w:rsidRDefault="0058317E" w:rsidP="00E877F4">
            <w:pPr>
              <w:jc w:val="center"/>
              <w:rPr>
                <w:rFonts w:cs="Arial"/>
                <w:color w:val="000000"/>
                <w:szCs w:val="24"/>
              </w:rPr>
            </w:pPr>
            <w:r w:rsidRPr="003F1BB6">
              <w:rPr>
                <w:rFonts w:cs="Arial"/>
                <w:color w:val="000000"/>
                <w:szCs w:val="24"/>
              </w:rPr>
              <w:t>0.000</w:t>
            </w:r>
          </w:p>
        </w:tc>
        <w:tc>
          <w:tcPr>
            <w:tcW w:w="1985" w:type="dxa"/>
            <w:tcBorders>
              <w:top w:val="nil"/>
              <w:left w:val="nil"/>
              <w:bottom w:val="single" w:sz="8" w:space="0" w:color="000000"/>
              <w:right w:val="single" w:sz="8" w:space="0" w:color="auto"/>
            </w:tcBorders>
            <w:shd w:val="clear" w:color="auto" w:fill="auto"/>
            <w:noWrap/>
          </w:tcPr>
          <w:p w14:paraId="2D21E7D3" w14:textId="4484C5B7" w:rsidR="00DA5579" w:rsidRPr="003F1BB6" w:rsidRDefault="0058317E" w:rsidP="005F5EF1">
            <w:pPr>
              <w:jc w:val="center"/>
              <w:rPr>
                <w:rFonts w:cs="Arial"/>
                <w:color w:val="000000"/>
                <w:szCs w:val="24"/>
              </w:rPr>
            </w:pPr>
            <w:r w:rsidRPr="003F1BB6">
              <w:rPr>
                <w:rFonts w:cs="Arial"/>
                <w:color w:val="000000"/>
                <w:szCs w:val="24"/>
              </w:rPr>
              <w:t>0.00%</w:t>
            </w:r>
          </w:p>
        </w:tc>
      </w:tr>
      <w:tr w:rsidR="006619F2" w14:paraId="2D21E7D8" w14:textId="77777777" w:rsidTr="005F5EF1">
        <w:trPr>
          <w:trHeight w:val="315"/>
        </w:trPr>
        <w:tc>
          <w:tcPr>
            <w:tcW w:w="4678" w:type="dxa"/>
            <w:tcBorders>
              <w:top w:val="nil"/>
              <w:left w:val="single" w:sz="8" w:space="0" w:color="000000"/>
              <w:bottom w:val="single" w:sz="8" w:space="0" w:color="000000"/>
              <w:right w:val="single" w:sz="8" w:space="0" w:color="000000"/>
            </w:tcBorders>
            <w:shd w:val="clear" w:color="auto" w:fill="auto"/>
            <w:noWrap/>
            <w:hideMark/>
          </w:tcPr>
          <w:p w14:paraId="2D21E7D5" w14:textId="77777777" w:rsidR="00DA5579" w:rsidRPr="003F1BB6" w:rsidRDefault="0058317E" w:rsidP="00DA5579">
            <w:pPr>
              <w:rPr>
                <w:rFonts w:cs="Arial"/>
                <w:color w:val="000000"/>
                <w:szCs w:val="24"/>
              </w:rPr>
            </w:pPr>
            <w:r w:rsidRPr="003F1BB6">
              <w:rPr>
                <w:szCs w:val="24"/>
              </w:rPr>
              <w:t>Local authority bonds</w:t>
            </w:r>
          </w:p>
        </w:tc>
        <w:tc>
          <w:tcPr>
            <w:tcW w:w="2693" w:type="dxa"/>
            <w:tcBorders>
              <w:top w:val="nil"/>
              <w:left w:val="single" w:sz="8" w:space="0" w:color="auto"/>
              <w:bottom w:val="single" w:sz="8" w:space="0" w:color="000000"/>
              <w:right w:val="single" w:sz="8" w:space="0" w:color="auto"/>
            </w:tcBorders>
            <w:shd w:val="clear" w:color="auto" w:fill="auto"/>
            <w:noWrap/>
            <w:vAlign w:val="center"/>
          </w:tcPr>
          <w:p w14:paraId="2D21E7D6" w14:textId="77777777" w:rsidR="00DA5579" w:rsidRPr="003F1BB6" w:rsidRDefault="0058317E" w:rsidP="00E877F4">
            <w:pPr>
              <w:jc w:val="center"/>
              <w:rPr>
                <w:rFonts w:cs="Arial"/>
                <w:color w:val="000000"/>
                <w:szCs w:val="24"/>
              </w:rPr>
            </w:pPr>
            <w:r w:rsidRPr="003F1BB6">
              <w:rPr>
                <w:rFonts w:cs="Arial"/>
                <w:color w:val="000000"/>
                <w:szCs w:val="24"/>
              </w:rPr>
              <w:t>33.0</w:t>
            </w:r>
          </w:p>
        </w:tc>
        <w:tc>
          <w:tcPr>
            <w:tcW w:w="1985" w:type="dxa"/>
            <w:tcBorders>
              <w:top w:val="nil"/>
              <w:left w:val="single" w:sz="8" w:space="0" w:color="auto"/>
              <w:bottom w:val="single" w:sz="8" w:space="0" w:color="000000"/>
              <w:right w:val="single" w:sz="8" w:space="0" w:color="auto"/>
            </w:tcBorders>
            <w:shd w:val="clear" w:color="auto" w:fill="auto"/>
            <w:noWrap/>
            <w:vAlign w:val="center"/>
          </w:tcPr>
          <w:p w14:paraId="2D21E7D7" w14:textId="77777777" w:rsidR="00DA5579" w:rsidRPr="003F1BB6" w:rsidRDefault="0058317E" w:rsidP="00E877F4">
            <w:pPr>
              <w:jc w:val="center"/>
              <w:rPr>
                <w:rFonts w:cs="Arial"/>
                <w:color w:val="000000"/>
                <w:szCs w:val="24"/>
              </w:rPr>
            </w:pPr>
            <w:r w:rsidRPr="003F1BB6">
              <w:rPr>
                <w:rFonts w:cs="Arial"/>
                <w:color w:val="000000"/>
                <w:szCs w:val="24"/>
              </w:rPr>
              <w:t>3.76%</w:t>
            </w:r>
          </w:p>
        </w:tc>
      </w:tr>
      <w:tr w:rsidR="006619F2" w14:paraId="2D21E7DC" w14:textId="77777777" w:rsidTr="005F5EF1">
        <w:trPr>
          <w:trHeight w:val="315"/>
        </w:trPr>
        <w:tc>
          <w:tcPr>
            <w:tcW w:w="4678" w:type="dxa"/>
            <w:tcBorders>
              <w:top w:val="nil"/>
              <w:left w:val="single" w:sz="8" w:space="0" w:color="000000"/>
              <w:bottom w:val="single" w:sz="8" w:space="0" w:color="000000"/>
              <w:right w:val="single" w:sz="8" w:space="0" w:color="000000"/>
            </w:tcBorders>
            <w:shd w:val="clear" w:color="auto" w:fill="auto"/>
            <w:noWrap/>
            <w:hideMark/>
          </w:tcPr>
          <w:p w14:paraId="2D21E7D9" w14:textId="77777777" w:rsidR="00DA5579" w:rsidRPr="003F1BB6" w:rsidRDefault="0058317E" w:rsidP="00DA5579">
            <w:pPr>
              <w:rPr>
                <w:rFonts w:cs="Arial"/>
                <w:color w:val="000000"/>
                <w:szCs w:val="24"/>
              </w:rPr>
            </w:pPr>
            <w:r w:rsidRPr="003F1BB6">
              <w:rPr>
                <w:szCs w:val="24"/>
              </w:rPr>
              <w:t>UK government &amp; other bonds</w:t>
            </w:r>
          </w:p>
        </w:tc>
        <w:tc>
          <w:tcPr>
            <w:tcW w:w="2693" w:type="dxa"/>
            <w:tcBorders>
              <w:top w:val="nil"/>
              <w:left w:val="single" w:sz="8" w:space="0" w:color="auto"/>
              <w:bottom w:val="single" w:sz="8" w:space="0" w:color="000000"/>
              <w:right w:val="single" w:sz="8" w:space="0" w:color="auto"/>
            </w:tcBorders>
            <w:shd w:val="clear" w:color="auto" w:fill="auto"/>
            <w:noWrap/>
            <w:vAlign w:val="center"/>
          </w:tcPr>
          <w:p w14:paraId="2D21E7DA" w14:textId="77777777" w:rsidR="00DA5579" w:rsidRPr="003F1BB6" w:rsidRDefault="0058317E" w:rsidP="00E877F4">
            <w:pPr>
              <w:jc w:val="center"/>
              <w:rPr>
                <w:rFonts w:cs="Arial"/>
                <w:color w:val="000000"/>
                <w:szCs w:val="24"/>
              </w:rPr>
            </w:pPr>
            <w:r w:rsidRPr="003F1BB6">
              <w:rPr>
                <w:rFonts w:cs="Arial"/>
                <w:color w:val="000000"/>
                <w:szCs w:val="24"/>
              </w:rPr>
              <w:t>474.7</w:t>
            </w:r>
          </w:p>
        </w:tc>
        <w:tc>
          <w:tcPr>
            <w:tcW w:w="1985" w:type="dxa"/>
            <w:tcBorders>
              <w:top w:val="nil"/>
              <w:left w:val="single" w:sz="8" w:space="0" w:color="auto"/>
              <w:bottom w:val="single" w:sz="8" w:space="0" w:color="000000"/>
              <w:right w:val="single" w:sz="8" w:space="0" w:color="auto"/>
            </w:tcBorders>
            <w:shd w:val="clear" w:color="auto" w:fill="auto"/>
            <w:noWrap/>
            <w:vAlign w:val="center"/>
          </w:tcPr>
          <w:p w14:paraId="2D21E7DB" w14:textId="77777777" w:rsidR="00DA5579" w:rsidRPr="003F1BB6" w:rsidRDefault="0058317E" w:rsidP="00E877F4">
            <w:pPr>
              <w:jc w:val="center"/>
              <w:rPr>
                <w:rFonts w:cs="Arial"/>
                <w:color w:val="000000"/>
                <w:szCs w:val="24"/>
              </w:rPr>
            </w:pPr>
            <w:r w:rsidRPr="003F1BB6">
              <w:rPr>
                <w:rFonts w:cs="Arial"/>
                <w:color w:val="000000"/>
                <w:szCs w:val="24"/>
              </w:rPr>
              <w:t>7.28%</w:t>
            </w:r>
          </w:p>
        </w:tc>
      </w:tr>
      <w:tr w:rsidR="006619F2" w14:paraId="2D21E7E0" w14:textId="77777777" w:rsidTr="005F5EF1">
        <w:trPr>
          <w:trHeight w:val="315"/>
        </w:trPr>
        <w:tc>
          <w:tcPr>
            <w:tcW w:w="4678" w:type="dxa"/>
            <w:tcBorders>
              <w:top w:val="nil"/>
              <w:left w:val="single" w:sz="8" w:space="0" w:color="000000"/>
              <w:bottom w:val="single" w:sz="8" w:space="0" w:color="000000"/>
              <w:right w:val="single" w:sz="8" w:space="0" w:color="000000"/>
            </w:tcBorders>
            <w:shd w:val="clear" w:color="auto" w:fill="auto"/>
            <w:noWrap/>
            <w:hideMark/>
          </w:tcPr>
          <w:p w14:paraId="2D21E7DD" w14:textId="77777777" w:rsidR="00DA5579" w:rsidRPr="003F1BB6" w:rsidRDefault="0058317E" w:rsidP="00DA5579">
            <w:pPr>
              <w:rPr>
                <w:rFonts w:cs="Arial"/>
                <w:b/>
                <w:bCs/>
                <w:color w:val="000000"/>
                <w:szCs w:val="24"/>
              </w:rPr>
            </w:pPr>
            <w:r w:rsidRPr="003F1BB6">
              <w:rPr>
                <w:b/>
                <w:szCs w:val="24"/>
              </w:rPr>
              <w:t>Total</w:t>
            </w:r>
          </w:p>
        </w:tc>
        <w:tc>
          <w:tcPr>
            <w:tcW w:w="2693" w:type="dxa"/>
            <w:tcBorders>
              <w:top w:val="nil"/>
              <w:left w:val="nil"/>
              <w:bottom w:val="single" w:sz="8" w:space="0" w:color="000000"/>
              <w:right w:val="nil"/>
            </w:tcBorders>
            <w:shd w:val="clear" w:color="auto" w:fill="auto"/>
            <w:noWrap/>
          </w:tcPr>
          <w:p w14:paraId="2D21E7DE" w14:textId="77777777" w:rsidR="00DA5579" w:rsidRPr="003F1BB6" w:rsidRDefault="0058317E" w:rsidP="00E877F4">
            <w:pPr>
              <w:jc w:val="center"/>
              <w:rPr>
                <w:rFonts w:cs="Arial"/>
                <w:b/>
                <w:bCs/>
                <w:color w:val="000000"/>
                <w:szCs w:val="24"/>
              </w:rPr>
            </w:pPr>
            <w:r w:rsidRPr="003F1BB6">
              <w:rPr>
                <w:rFonts w:cs="Arial"/>
                <w:b/>
                <w:bCs/>
                <w:color w:val="000000"/>
                <w:szCs w:val="24"/>
              </w:rPr>
              <w:t>637.1</w:t>
            </w:r>
          </w:p>
        </w:tc>
        <w:tc>
          <w:tcPr>
            <w:tcW w:w="1985" w:type="dxa"/>
            <w:tcBorders>
              <w:top w:val="nil"/>
              <w:left w:val="single" w:sz="8" w:space="0" w:color="auto"/>
              <w:bottom w:val="single" w:sz="8" w:space="0" w:color="auto"/>
              <w:right w:val="single" w:sz="8" w:space="0" w:color="auto"/>
            </w:tcBorders>
            <w:shd w:val="clear" w:color="auto" w:fill="auto"/>
            <w:noWrap/>
          </w:tcPr>
          <w:p w14:paraId="2D21E7DF" w14:textId="77777777" w:rsidR="00DA5579" w:rsidRPr="003F1BB6" w:rsidRDefault="0058317E" w:rsidP="00E877F4">
            <w:pPr>
              <w:jc w:val="center"/>
              <w:rPr>
                <w:rFonts w:cs="Arial"/>
                <w:b/>
                <w:bCs/>
                <w:color w:val="000000"/>
                <w:szCs w:val="24"/>
              </w:rPr>
            </w:pPr>
            <w:r w:rsidRPr="003F1BB6">
              <w:rPr>
                <w:rFonts w:cs="Arial"/>
                <w:b/>
                <w:bCs/>
                <w:color w:val="000000"/>
                <w:szCs w:val="24"/>
              </w:rPr>
              <w:t>5.73%</w:t>
            </w:r>
          </w:p>
        </w:tc>
      </w:tr>
    </w:tbl>
    <w:p w14:paraId="2D21E7E2" w14:textId="77777777" w:rsidR="00DA5579" w:rsidRDefault="0058317E" w:rsidP="00DA5579">
      <w:pPr>
        <w:jc w:val="both"/>
      </w:pPr>
      <w:r>
        <w:lastRenderedPageBreak/>
        <w:t>In addition, the non-treasury management investments had an average balance of £314.7m which made a net return of 0.29%.</w:t>
      </w:r>
    </w:p>
    <w:p w14:paraId="2D21E7E3" w14:textId="77777777" w:rsidR="00DA5579" w:rsidRDefault="003A3CFD" w:rsidP="00DA5579">
      <w:pPr>
        <w:jc w:val="both"/>
      </w:pPr>
    </w:p>
    <w:p w14:paraId="2D21E7E4" w14:textId="10FD4529" w:rsidR="00DA5579" w:rsidRPr="009B59F8" w:rsidRDefault="0058317E" w:rsidP="00DA5579">
      <w:pPr>
        <w:jc w:val="both"/>
        <w:rPr>
          <w:b/>
          <w:szCs w:val="24"/>
        </w:rPr>
      </w:pPr>
      <w:r w:rsidRPr="009B59F8">
        <w:rPr>
          <w:b/>
          <w:szCs w:val="24"/>
        </w:rPr>
        <w:t xml:space="preserve">Impact of the Treasury Management Strategy on the </w:t>
      </w:r>
      <w:r w:rsidR="00F517B5">
        <w:rPr>
          <w:b/>
          <w:szCs w:val="24"/>
        </w:rPr>
        <w:t>C</w:t>
      </w:r>
      <w:r w:rsidRPr="009B59F8">
        <w:rPr>
          <w:b/>
          <w:szCs w:val="24"/>
        </w:rPr>
        <w:t xml:space="preserve">ouncil's </w:t>
      </w:r>
      <w:r w:rsidR="00F517B5">
        <w:rPr>
          <w:b/>
          <w:szCs w:val="24"/>
        </w:rPr>
        <w:t>R</w:t>
      </w:r>
      <w:r w:rsidRPr="009B59F8">
        <w:rPr>
          <w:b/>
          <w:szCs w:val="24"/>
        </w:rPr>
        <w:t xml:space="preserve">evenue </w:t>
      </w:r>
      <w:r w:rsidR="00F517B5">
        <w:rPr>
          <w:b/>
          <w:szCs w:val="24"/>
        </w:rPr>
        <w:t>B</w:t>
      </w:r>
      <w:r w:rsidRPr="009B59F8">
        <w:rPr>
          <w:b/>
          <w:szCs w:val="24"/>
        </w:rPr>
        <w:t>udget</w:t>
      </w:r>
    </w:p>
    <w:p w14:paraId="2D21E7E5" w14:textId="77777777" w:rsidR="00DA5579" w:rsidRPr="00D76181" w:rsidRDefault="003A3CFD" w:rsidP="00DA5579">
      <w:pPr>
        <w:jc w:val="both"/>
        <w:rPr>
          <w:b/>
          <w:szCs w:val="24"/>
        </w:rPr>
      </w:pPr>
    </w:p>
    <w:p w14:paraId="2D21E7E6" w14:textId="77777777" w:rsidR="00DA5579" w:rsidRDefault="0058317E" w:rsidP="00DA5579">
      <w:pPr>
        <w:jc w:val="both"/>
        <w:rPr>
          <w:szCs w:val="24"/>
        </w:rPr>
      </w:pPr>
      <w:r>
        <w:rPr>
          <w:szCs w:val="24"/>
        </w:rPr>
        <w:t xml:space="preserve">The financing charges budget covers both the treasury management and non- treasury management activities. In total there was </w:t>
      </w:r>
      <w:r w:rsidRPr="009A3C95">
        <w:rPr>
          <w:szCs w:val="24"/>
        </w:rPr>
        <w:t>a net underspend of £22.</w:t>
      </w:r>
      <w:r>
        <w:rPr>
          <w:szCs w:val="24"/>
        </w:rPr>
        <w:t>9</w:t>
      </w:r>
      <w:r w:rsidRPr="009A3C95">
        <w:rPr>
          <w:szCs w:val="24"/>
        </w:rPr>
        <w:t xml:space="preserve">m as shown in the following table. </w:t>
      </w:r>
    </w:p>
    <w:p w14:paraId="2D21E7E7" w14:textId="77777777" w:rsidR="00DA5579" w:rsidRDefault="003A3CFD" w:rsidP="00DA5579">
      <w:pPr>
        <w:jc w:val="both"/>
        <w:rPr>
          <w:szCs w:val="24"/>
        </w:rPr>
      </w:pPr>
    </w:p>
    <w:tbl>
      <w:tblPr>
        <w:tblW w:w="9072" w:type="dxa"/>
        <w:tblLook w:val="04A0" w:firstRow="1" w:lastRow="0" w:firstColumn="1" w:lastColumn="0" w:noHBand="0" w:noVBand="1"/>
      </w:tblPr>
      <w:tblGrid>
        <w:gridCol w:w="3969"/>
        <w:gridCol w:w="1701"/>
        <w:gridCol w:w="1843"/>
        <w:gridCol w:w="1559"/>
      </w:tblGrid>
      <w:tr w:rsidR="006619F2" w14:paraId="2D21E7EC" w14:textId="77777777" w:rsidTr="00DA5579">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1E7E8" w14:textId="77777777" w:rsidR="00DA5579" w:rsidRPr="0076747A" w:rsidRDefault="003A3CFD" w:rsidP="00DA5579">
            <w:pPr>
              <w:rPr>
                <w:rFonts w:cs="Arial"/>
                <w:color w:val="000000"/>
                <w:szCs w:val="24"/>
              </w:rPr>
            </w:pPr>
          </w:p>
        </w:tc>
        <w:tc>
          <w:tcPr>
            <w:tcW w:w="1701" w:type="dxa"/>
            <w:tcBorders>
              <w:top w:val="single" w:sz="4" w:space="0" w:color="auto"/>
              <w:left w:val="nil"/>
              <w:bottom w:val="single" w:sz="4" w:space="0" w:color="auto"/>
              <w:right w:val="single" w:sz="4" w:space="0" w:color="auto"/>
            </w:tcBorders>
            <w:shd w:val="clear" w:color="auto" w:fill="auto"/>
            <w:noWrap/>
          </w:tcPr>
          <w:p w14:paraId="2D21E7E9" w14:textId="77777777" w:rsidR="00DA5579" w:rsidRPr="00F517B5" w:rsidRDefault="0058317E" w:rsidP="00DA5579">
            <w:pPr>
              <w:jc w:val="center"/>
              <w:rPr>
                <w:b/>
              </w:rPr>
            </w:pPr>
            <w:r w:rsidRPr="00F517B5">
              <w:rPr>
                <w:b/>
              </w:rPr>
              <w:t>Budget</w:t>
            </w:r>
          </w:p>
        </w:tc>
        <w:tc>
          <w:tcPr>
            <w:tcW w:w="1843" w:type="dxa"/>
            <w:tcBorders>
              <w:top w:val="single" w:sz="4" w:space="0" w:color="auto"/>
              <w:left w:val="nil"/>
              <w:bottom w:val="single" w:sz="4" w:space="0" w:color="auto"/>
              <w:right w:val="single" w:sz="4" w:space="0" w:color="auto"/>
            </w:tcBorders>
            <w:shd w:val="clear" w:color="auto" w:fill="auto"/>
            <w:noWrap/>
          </w:tcPr>
          <w:p w14:paraId="2D21E7EA" w14:textId="77777777" w:rsidR="00DA5579" w:rsidRPr="00F517B5" w:rsidRDefault="0058317E" w:rsidP="000F3BA1">
            <w:pPr>
              <w:jc w:val="center"/>
              <w:rPr>
                <w:b/>
              </w:rPr>
            </w:pPr>
            <w:r w:rsidRPr="00F517B5">
              <w:rPr>
                <w:b/>
              </w:rPr>
              <w:t>31 March 2020 Actual</w:t>
            </w:r>
          </w:p>
        </w:tc>
        <w:tc>
          <w:tcPr>
            <w:tcW w:w="1559" w:type="dxa"/>
            <w:tcBorders>
              <w:top w:val="single" w:sz="4" w:space="0" w:color="auto"/>
              <w:left w:val="nil"/>
              <w:bottom w:val="single" w:sz="4" w:space="0" w:color="auto"/>
              <w:right w:val="single" w:sz="4" w:space="0" w:color="auto"/>
            </w:tcBorders>
            <w:shd w:val="clear" w:color="auto" w:fill="auto"/>
            <w:noWrap/>
          </w:tcPr>
          <w:p w14:paraId="2D21E7EB" w14:textId="77777777" w:rsidR="00DA5579" w:rsidRPr="00F517B5" w:rsidRDefault="0058317E" w:rsidP="00DA5579">
            <w:pPr>
              <w:jc w:val="center"/>
              <w:rPr>
                <w:b/>
              </w:rPr>
            </w:pPr>
            <w:r w:rsidRPr="00F517B5">
              <w:rPr>
                <w:b/>
              </w:rPr>
              <w:t>Variance</w:t>
            </w:r>
          </w:p>
        </w:tc>
      </w:tr>
      <w:tr w:rsidR="006619F2" w14:paraId="2D21E7F1" w14:textId="77777777" w:rsidTr="00DA5579">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1E7ED" w14:textId="77777777" w:rsidR="00DA5579" w:rsidRPr="0076747A" w:rsidRDefault="003A3CFD" w:rsidP="00DA5579">
            <w:pPr>
              <w:rPr>
                <w:rFonts w:cs="Arial"/>
                <w:color w:val="000000"/>
                <w:szCs w:val="24"/>
              </w:rPr>
            </w:pPr>
          </w:p>
        </w:tc>
        <w:tc>
          <w:tcPr>
            <w:tcW w:w="1701" w:type="dxa"/>
            <w:tcBorders>
              <w:top w:val="single" w:sz="4" w:space="0" w:color="auto"/>
              <w:left w:val="nil"/>
              <w:bottom w:val="single" w:sz="4" w:space="0" w:color="auto"/>
              <w:right w:val="single" w:sz="4" w:space="0" w:color="auto"/>
            </w:tcBorders>
            <w:shd w:val="clear" w:color="auto" w:fill="auto"/>
            <w:noWrap/>
          </w:tcPr>
          <w:p w14:paraId="2D21E7EE" w14:textId="77777777" w:rsidR="00DA5579" w:rsidRPr="00F517B5" w:rsidRDefault="0058317E" w:rsidP="00DA5579">
            <w:pPr>
              <w:jc w:val="center"/>
              <w:rPr>
                <w:b/>
              </w:rPr>
            </w:pPr>
            <w:r w:rsidRPr="00F517B5">
              <w:rPr>
                <w:b/>
              </w:rPr>
              <w:t>£m</w:t>
            </w:r>
          </w:p>
        </w:tc>
        <w:tc>
          <w:tcPr>
            <w:tcW w:w="1843" w:type="dxa"/>
            <w:tcBorders>
              <w:top w:val="single" w:sz="4" w:space="0" w:color="auto"/>
              <w:left w:val="nil"/>
              <w:bottom w:val="single" w:sz="4" w:space="0" w:color="auto"/>
              <w:right w:val="single" w:sz="4" w:space="0" w:color="auto"/>
            </w:tcBorders>
            <w:shd w:val="clear" w:color="auto" w:fill="auto"/>
            <w:noWrap/>
          </w:tcPr>
          <w:p w14:paraId="2D21E7EF" w14:textId="77777777" w:rsidR="00DA5579" w:rsidRPr="00F517B5" w:rsidRDefault="0058317E" w:rsidP="00DA5579">
            <w:pPr>
              <w:jc w:val="center"/>
              <w:rPr>
                <w:b/>
              </w:rPr>
            </w:pPr>
            <w:r w:rsidRPr="00F517B5">
              <w:rPr>
                <w:b/>
              </w:rPr>
              <w:t>£m</w:t>
            </w:r>
          </w:p>
        </w:tc>
        <w:tc>
          <w:tcPr>
            <w:tcW w:w="1559" w:type="dxa"/>
            <w:tcBorders>
              <w:top w:val="single" w:sz="4" w:space="0" w:color="auto"/>
              <w:left w:val="nil"/>
              <w:bottom w:val="single" w:sz="4" w:space="0" w:color="auto"/>
              <w:right w:val="single" w:sz="4" w:space="0" w:color="auto"/>
            </w:tcBorders>
            <w:shd w:val="clear" w:color="auto" w:fill="auto"/>
            <w:noWrap/>
          </w:tcPr>
          <w:p w14:paraId="2D21E7F0" w14:textId="77777777" w:rsidR="00DA5579" w:rsidRPr="00F517B5" w:rsidRDefault="0058317E" w:rsidP="00DA5579">
            <w:pPr>
              <w:jc w:val="center"/>
              <w:rPr>
                <w:b/>
              </w:rPr>
            </w:pPr>
            <w:r w:rsidRPr="00F517B5">
              <w:rPr>
                <w:b/>
              </w:rPr>
              <w:t>£m</w:t>
            </w:r>
          </w:p>
        </w:tc>
      </w:tr>
      <w:tr w:rsidR="006619F2" w14:paraId="2D21E7F6" w14:textId="77777777" w:rsidTr="00DA5579">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1E7F2" w14:textId="77777777" w:rsidR="00DA5579" w:rsidRPr="0076747A" w:rsidRDefault="0058317E" w:rsidP="00DA5579">
            <w:pPr>
              <w:rPr>
                <w:rFonts w:cs="Arial"/>
                <w:color w:val="000000"/>
                <w:szCs w:val="24"/>
              </w:rPr>
            </w:pPr>
            <w:r w:rsidRPr="0076747A">
              <w:rPr>
                <w:rFonts w:cs="Arial"/>
                <w:color w:val="000000"/>
                <w:szCs w:val="24"/>
              </w:rPr>
              <w:t>M</w:t>
            </w:r>
            <w:r>
              <w:rPr>
                <w:rFonts w:cs="Arial"/>
                <w:color w:val="000000"/>
                <w:szCs w:val="24"/>
              </w:rPr>
              <w:t xml:space="preserve">inimum </w:t>
            </w:r>
            <w:r w:rsidRPr="0076747A">
              <w:rPr>
                <w:rFonts w:cs="Arial"/>
                <w:color w:val="000000"/>
                <w:szCs w:val="24"/>
              </w:rPr>
              <w:t>R</w:t>
            </w:r>
            <w:r>
              <w:rPr>
                <w:rFonts w:cs="Arial"/>
                <w:color w:val="000000"/>
                <w:szCs w:val="24"/>
              </w:rPr>
              <w:t xml:space="preserve">evenue </w:t>
            </w:r>
            <w:r w:rsidRPr="0076747A">
              <w:rPr>
                <w:rFonts w:cs="Arial"/>
                <w:color w:val="000000"/>
                <w:szCs w:val="24"/>
              </w:rPr>
              <w:t>P</w:t>
            </w:r>
            <w:r>
              <w:rPr>
                <w:rFonts w:cs="Arial"/>
                <w:color w:val="000000"/>
                <w:szCs w:val="24"/>
              </w:rPr>
              <w:t>rovision</w:t>
            </w:r>
          </w:p>
        </w:tc>
        <w:tc>
          <w:tcPr>
            <w:tcW w:w="1701" w:type="dxa"/>
            <w:tcBorders>
              <w:top w:val="single" w:sz="4" w:space="0" w:color="auto"/>
              <w:left w:val="nil"/>
              <w:bottom w:val="single" w:sz="4" w:space="0" w:color="auto"/>
              <w:right w:val="single" w:sz="4" w:space="0" w:color="auto"/>
            </w:tcBorders>
            <w:shd w:val="clear" w:color="auto" w:fill="auto"/>
            <w:noWrap/>
          </w:tcPr>
          <w:p w14:paraId="2D21E7F3" w14:textId="77777777" w:rsidR="00DA5579" w:rsidRPr="00B24CDB" w:rsidRDefault="0058317E" w:rsidP="00DA5579">
            <w:pPr>
              <w:jc w:val="center"/>
            </w:pPr>
            <w:r w:rsidRPr="00B24CDB">
              <w:t>14.9</w:t>
            </w:r>
          </w:p>
        </w:tc>
        <w:tc>
          <w:tcPr>
            <w:tcW w:w="1843" w:type="dxa"/>
            <w:tcBorders>
              <w:top w:val="single" w:sz="4" w:space="0" w:color="auto"/>
              <w:left w:val="nil"/>
              <w:bottom w:val="single" w:sz="4" w:space="0" w:color="auto"/>
              <w:right w:val="single" w:sz="4" w:space="0" w:color="auto"/>
            </w:tcBorders>
            <w:shd w:val="clear" w:color="auto" w:fill="auto"/>
            <w:noWrap/>
          </w:tcPr>
          <w:p w14:paraId="2D21E7F4" w14:textId="77777777" w:rsidR="00DA5579" w:rsidRPr="00B24CDB" w:rsidRDefault="0058317E" w:rsidP="00DA5579">
            <w:pPr>
              <w:jc w:val="center"/>
            </w:pPr>
            <w:r w:rsidRPr="00B24CDB">
              <w:t>14.</w:t>
            </w:r>
            <w:r>
              <w:t>9</w:t>
            </w:r>
          </w:p>
        </w:tc>
        <w:tc>
          <w:tcPr>
            <w:tcW w:w="1559" w:type="dxa"/>
            <w:tcBorders>
              <w:top w:val="single" w:sz="4" w:space="0" w:color="auto"/>
              <w:left w:val="nil"/>
              <w:bottom w:val="single" w:sz="4" w:space="0" w:color="auto"/>
              <w:right w:val="single" w:sz="4" w:space="0" w:color="auto"/>
            </w:tcBorders>
            <w:shd w:val="clear" w:color="auto" w:fill="auto"/>
            <w:noWrap/>
          </w:tcPr>
          <w:p w14:paraId="2D21E7F5" w14:textId="77777777" w:rsidR="00DA5579" w:rsidRPr="00B24CDB" w:rsidRDefault="0058317E" w:rsidP="00DA5579">
            <w:pPr>
              <w:jc w:val="center"/>
            </w:pPr>
            <w:r w:rsidRPr="00B24CDB">
              <w:t>0.0</w:t>
            </w:r>
          </w:p>
        </w:tc>
      </w:tr>
      <w:tr w:rsidR="006619F2" w14:paraId="2D21E7FB" w14:textId="77777777" w:rsidTr="00DA557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2D21E7F7" w14:textId="77777777" w:rsidR="00DA5579" w:rsidRPr="0076747A" w:rsidRDefault="0058317E" w:rsidP="00DA5579">
            <w:pPr>
              <w:rPr>
                <w:rFonts w:cs="Arial"/>
                <w:color w:val="000000"/>
                <w:szCs w:val="24"/>
              </w:rPr>
            </w:pPr>
            <w:r w:rsidRPr="0076747A">
              <w:rPr>
                <w:rFonts w:cs="Arial"/>
                <w:color w:val="000000"/>
                <w:szCs w:val="24"/>
              </w:rPr>
              <w:t xml:space="preserve">Interest </w:t>
            </w:r>
            <w:r>
              <w:rPr>
                <w:rFonts w:cs="Arial"/>
                <w:color w:val="000000"/>
                <w:szCs w:val="24"/>
              </w:rPr>
              <w:t>p</w:t>
            </w:r>
            <w:r w:rsidRPr="0076747A">
              <w:rPr>
                <w:rFonts w:cs="Arial"/>
                <w:color w:val="000000"/>
                <w:szCs w:val="24"/>
              </w:rPr>
              <w:t>aid</w:t>
            </w:r>
          </w:p>
        </w:tc>
        <w:tc>
          <w:tcPr>
            <w:tcW w:w="1701" w:type="dxa"/>
            <w:tcBorders>
              <w:top w:val="nil"/>
              <w:left w:val="nil"/>
              <w:bottom w:val="single" w:sz="4" w:space="0" w:color="auto"/>
              <w:right w:val="single" w:sz="4" w:space="0" w:color="auto"/>
            </w:tcBorders>
            <w:shd w:val="clear" w:color="auto" w:fill="auto"/>
            <w:noWrap/>
          </w:tcPr>
          <w:p w14:paraId="2D21E7F8" w14:textId="77777777" w:rsidR="00DA5579" w:rsidRPr="00B24CDB" w:rsidRDefault="0058317E" w:rsidP="00DA5579">
            <w:pPr>
              <w:jc w:val="center"/>
            </w:pPr>
            <w:r>
              <w:t>25.0</w:t>
            </w:r>
          </w:p>
        </w:tc>
        <w:tc>
          <w:tcPr>
            <w:tcW w:w="1843" w:type="dxa"/>
            <w:tcBorders>
              <w:top w:val="nil"/>
              <w:left w:val="nil"/>
              <w:bottom w:val="single" w:sz="4" w:space="0" w:color="auto"/>
              <w:right w:val="single" w:sz="4" w:space="0" w:color="auto"/>
            </w:tcBorders>
            <w:shd w:val="clear" w:color="auto" w:fill="auto"/>
            <w:noWrap/>
          </w:tcPr>
          <w:p w14:paraId="2D21E7F9" w14:textId="77777777" w:rsidR="00DA5579" w:rsidRPr="00B24CDB" w:rsidRDefault="0058317E" w:rsidP="00DA5579">
            <w:pPr>
              <w:jc w:val="center"/>
            </w:pPr>
            <w:r w:rsidRPr="00B24CDB">
              <w:t>30.7</w:t>
            </w:r>
          </w:p>
        </w:tc>
        <w:tc>
          <w:tcPr>
            <w:tcW w:w="1559" w:type="dxa"/>
            <w:tcBorders>
              <w:top w:val="nil"/>
              <w:left w:val="nil"/>
              <w:bottom w:val="single" w:sz="4" w:space="0" w:color="auto"/>
              <w:right w:val="single" w:sz="4" w:space="0" w:color="auto"/>
            </w:tcBorders>
            <w:shd w:val="clear" w:color="auto" w:fill="auto"/>
            <w:noWrap/>
          </w:tcPr>
          <w:p w14:paraId="2D21E7FA" w14:textId="77777777" w:rsidR="00DA5579" w:rsidRPr="00B24CDB" w:rsidRDefault="0058317E" w:rsidP="00DA5579">
            <w:pPr>
              <w:jc w:val="center"/>
            </w:pPr>
            <w:r w:rsidRPr="00B24CDB">
              <w:t>5.</w:t>
            </w:r>
            <w:r>
              <w:t>7</w:t>
            </w:r>
          </w:p>
        </w:tc>
      </w:tr>
      <w:tr w:rsidR="006619F2" w14:paraId="2D21E800" w14:textId="77777777" w:rsidTr="000F3BA1">
        <w:trPr>
          <w:trHeight w:val="101"/>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2D21E7FC" w14:textId="77777777" w:rsidR="00DA5579" w:rsidRPr="0076747A" w:rsidRDefault="0058317E" w:rsidP="00DA5579">
            <w:pPr>
              <w:rPr>
                <w:rFonts w:cs="Arial"/>
                <w:color w:val="000000"/>
                <w:szCs w:val="24"/>
              </w:rPr>
            </w:pPr>
            <w:r w:rsidRPr="0076747A">
              <w:rPr>
                <w:rFonts w:cs="Arial"/>
                <w:color w:val="000000"/>
                <w:szCs w:val="24"/>
              </w:rPr>
              <w:t xml:space="preserve">Interest </w:t>
            </w:r>
            <w:r>
              <w:rPr>
                <w:rFonts w:cs="Arial"/>
                <w:color w:val="000000"/>
                <w:szCs w:val="24"/>
              </w:rPr>
              <w:t>r</w:t>
            </w:r>
            <w:r w:rsidRPr="0076747A">
              <w:rPr>
                <w:rFonts w:cs="Arial"/>
                <w:color w:val="000000"/>
                <w:szCs w:val="24"/>
              </w:rPr>
              <w:t>eceived/surplus on sale</w:t>
            </w:r>
          </w:p>
        </w:tc>
        <w:tc>
          <w:tcPr>
            <w:tcW w:w="1701" w:type="dxa"/>
            <w:tcBorders>
              <w:top w:val="nil"/>
              <w:left w:val="nil"/>
              <w:bottom w:val="single" w:sz="4" w:space="0" w:color="auto"/>
              <w:right w:val="single" w:sz="4" w:space="0" w:color="auto"/>
            </w:tcBorders>
            <w:shd w:val="clear" w:color="auto" w:fill="auto"/>
            <w:noWrap/>
          </w:tcPr>
          <w:p w14:paraId="2D21E7FD" w14:textId="77777777" w:rsidR="00DA5579" w:rsidRPr="00B24CDB" w:rsidRDefault="0058317E" w:rsidP="00DA5579">
            <w:pPr>
              <w:jc w:val="center"/>
            </w:pPr>
            <w:r>
              <w:t>(</w:t>
            </w:r>
            <w:r w:rsidRPr="00B24CDB">
              <w:t>13.</w:t>
            </w:r>
            <w:r>
              <w:t>9)</w:t>
            </w:r>
          </w:p>
        </w:tc>
        <w:tc>
          <w:tcPr>
            <w:tcW w:w="1843" w:type="dxa"/>
            <w:tcBorders>
              <w:top w:val="nil"/>
              <w:left w:val="nil"/>
              <w:bottom w:val="single" w:sz="4" w:space="0" w:color="auto"/>
              <w:right w:val="single" w:sz="4" w:space="0" w:color="auto"/>
            </w:tcBorders>
            <w:shd w:val="clear" w:color="auto" w:fill="auto"/>
            <w:noWrap/>
          </w:tcPr>
          <w:p w14:paraId="2D21E7FE" w14:textId="77777777" w:rsidR="00DA5579" w:rsidRPr="00B24CDB" w:rsidRDefault="0058317E" w:rsidP="00DA5579">
            <w:pPr>
              <w:jc w:val="center"/>
            </w:pPr>
            <w:r>
              <w:t>(</w:t>
            </w:r>
            <w:r w:rsidRPr="00B24CDB">
              <w:t>42.</w:t>
            </w:r>
            <w:r>
              <w:t>5)</w:t>
            </w:r>
          </w:p>
        </w:tc>
        <w:tc>
          <w:tcPr>
            <w:tcW w:w="1559" w:type="dxa"/>
            <w:tcBorders>
              <w:top w:val="nil"/>
              <w:left w:val="nil"/>
              <w:bottom w:val="single" w:sz="4" w:space="0" w:color="auto"/>
              <w:right w:val="single" w:sz="4" w:space="0" w:color="auto"/>
            </w:tcBorders>
            <w:shd w:val="clear" w:color="auto" w:fill="auto"/>
            <w:noWrap/>
          </w:tcPr>
          <w:p w14:paraId="2D21E7FF" w14:textId="77777777" w:rsidR="00DA5579" w:rsidRPr="00B24CDB" w:rsidRDefault="0058317E" w:rsidP="00DA5579">
            <w:pPr>
              <w:jc w:val="center"/>
            </w:pPr>
            <w:r>
              <w:t>(2</w:t>
            </w:r>
            <w:r w:rsidRPr="00B24CDB">
              <w:t>8.6</w:t>
            </w:r>
            <w:r>
              <w:t>)</w:t>
            </w:r>
          </w:p>
        </w:tc>
      </w:tr>
      <w:tr w:rsidR="006619F2" w14:paraId="2D21E805" w14:textId="77777777" w:rsidTr="00DA5579">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2D21E801" w14:textId="77777777" w:rsidR="00DA5579" w:rsidRPr="0076747A" w:rsidRDefault="0058317E" w:rsidP="00DA5579">
            <w:pPr>
              <w:rPr>
                <w:rFonts w:cs="Arial"/>
                <w:b/>
                <w:bCs/>
                <w:color w:val="000000"/>
                <w:szCs w:val="24"/>
              </w:rPr>
            </w:pPr>
            <w:r w:rsidRPr="0076747A">
              <w:rPr>
                <w:rFonts w:cs="Arial"/>
                <w:b/>
                <w:bCs/>
                <w:color w:val="000000"/>
                <w:szCs w:val="24"/>
              </w:rPr>
              <w:t>Total</w:t>
            </w:r>
          </w:p>
        </w:tc>
        <w:tc>
          <w:tcPr>
            <w:tcW w:w="1701" w:type="dxa"/>
            <w:tcBorders>
              <w:top w:val="nil"/>
              <w:left w:val="nil"/>
              <w:bottom w:val="single" w:sz="4" w:space="0" w:color="auto"/>
              <w:right w:val="single" w:sz="4" w:space="0" w:color="auto"/>
            </w:tcBorders>
            <w:shd w:val="clear" w:color="auto" w:fill="auto"/>
            <w:noWrap/>
          </w:tcPr>
          <w:p w14:paraId="2D21E802" w14:textId="77777777" w:rsidR="00DA5579" w:rsidRPr="00D16D97" w:rsidRDefault="0058317E" w:rsidP="00DA5579">
            <w:pPr>
              <w:jc w:val="center"/>
              <w:rPr>
                <w:b/>
              </w:rPr>
            </w:pPr>
            <w:r w:rsidRPr="00D16D97">
              <w:rPr>
                <w:b/>
              </w:rPr>
              <w:t>26.0</w:t>
            </w:r>
          </w:p>
        </w:tc>
        <w:tc>
          <w:tcPr>
            <w:tcW w:w="1843" w:type="dxa"/>
            <w:tcBorders>
              <w:top w:val="nil"/>
              <w:left w:val="nil"/>
              <w:bottom w:val="single" w:sz="4" w:space="0" w:color="auto"/>
              <w:right w:val="single" w:sz="4" w:space="0" w:color="auto"/>
            </w:tcBorders>
            <w:shd w:val="clear" w:color="auto" w:fill="auto"/>
            <w:noWrap/>
          </w:tcPr>
          <w:p w14:paraId="2D21E803" w14:textId="77777777" w:rsidR="00DA5579" w:rsidRPr="00D16D97" w:rsidRDefault="0058317E" w:rsidP="00DA5579">
            <w:pPr>
              <w:jc w:val="center"/>
              <w:rPr>
                <w:b/>
              </w:rPr>
            </w:pPr>
            <w:r w:rsidRPr="00D16D97">
              <w:rPr>
                <w:b/>
              </w:rPr>
              <w:t>3.</w:t>
            </w:r>
            <w:r>
              <w:rPr>
                <w:b/>
              </w:rPr>
              <w:t>1</w:t>
            </w:r>
          </w:p>
        </w:tc>
        <w:tc>
          <w:tcPr>
            <w:tcW w:w="1559" w:type="dxa"/>
            <w:tcBorders>
              <w:top w:val="nil"/>
              <w:left w:val="nil"/>
              <w:bottom w:val="single" w:sz="4" w:space="0" w:color="auto"/>
              <w:right w:val="single" w:sz="4" w:space="0" w:color="auto"/>
            </w:tcBorders>
            <w:shd w:val="clear" w:color="auto" w:fill="auto"/>
            <w:noWrap/>
          </w:tcPr>
          <w:p w14:paraId="2D21E804" w14:textId="77777777" w:rsidR="00DA5579" w:rsidRPr="00D16D97" w:rsidRDefault="0058317E" w:rsidP="00DA5579">
            <w:pPr>
              <w:jc w:val="center"/>
              <w:rPr>
                <w:b/>
              </w:rPr>
            </w:pPr>
            <w:r w:rsidRPr="00D16D97">
              <w:rPr>
                <w:b/>
              </w:rPr>
              <w:t>(22.</w:t>
            </w:r>
            <w:r>
              <w:rPr>
                <w:b/>
              </w:rPr>
              <w:t>9</w:t>
            </w:r>
            <w:r w:rsidRPr="00D16D97">
              <w:rPr>
                <w:b/>
              </w:rPr>
              <w:t>)</w:t>
            </w:r>
          </w:p>
        </w:tc>
      </w:tr>
    </w:tbl>
    <w:p w14:paraId="2D21E806" w14:textId="77777777" w:rsidR="00DA5579" w:rsidRDefault="003A3CFD" w:rsidP="00DA5579">
      <w:pPr>
        <w:jc w:val="both"/>
        <w:rPr>
          <w:szCs w:val="24"/>
        </w:rPr>
      </w:pPr>
    </w:p>
    <w:p w14:paraId="2D21E807" w14:textId="77777777" w:rsidR="00DA5579" w:rsidRDefault="0058317E" w:rsidP="00DA5579">
      <w:pPr>
        <w:tabs>
          <w:tab w:val="left" w:pos="851"/>
          <w:tab w:val="left" w:pos="1418"/>
        </w:tabs>
        <w:autoSpaceDE w:val="0"/>
        <w:autoSpaceDN w:val="0"/>
        <w:adjustRightInd w:val="0"/>
        <w:jc w:val="both"/>
        <w:rPr>
          <w:rFonts w:cs="Arial"/>
        </w:rPr>
      </w:pPr>
      <w:r w:rsidRPr="009A3C95">
        <w:rPr>
          <w:szCs w:val="24"/>
        </w:rPr>
        <w:t xml:space="preserve">Income received in the year was £28.6m higher than budgeted. </w:t>
      </w:r>
      <w:r>
        <w:rPr>
          <w:szCs w:val="24"/>
        </w:rPr>
        <w:t xml:space="preserve">Although investment balances were higher than budget, the main reason for the increase was the gains on the sale of Gilts. </w:t>
      </w:r>
      <w:r w:rsidRPr="009A3C95">
        <w:rPr>
          <w:szCs w:val="24"/>
        </w:rPr>
        <w:t>With the markets responding to economic and political events there was volatility in the price of Gilts and other bonds.</w:t>
      </w:r>
      <w:r w:rsidRPr="009A3C95">
        <w:rPr>
          <w:rFonts w:cs="Arial"/>
        </w:rPr>
        <w:t xml:space="preserve"> It</w:t>
      </w:r>
      <w:r>
        <w:rPr>
          <w:rFonts w:cs="Arial"/>
        </w:rPr>
        <w:t>'s not possible to reliably</w:t>
      </w:r>
      <w:r w:rsidRPr="00597002">
        <w:rPr>
          <w:rFonts w:cs="Arial"/>
        </w:rPr>
        <w:t xml:space="preserve"> predict the movement in the </w:t>
      </w:r>
      <w:r>
        <w:rPr>
          <w:rFonts w:cs="Arial"/>
        </w:rPr>
        <w:t xml:space="preserve">financial </w:t>
      </w:r>
      <w:r w:rsidRPr="00597002">
        <w:rPr>
          <w:rFonts w:cs="Arial"/>
        </w:rPr>
        <w:t>markets and</w:t>
      </w:r>
      <w:r>
        <w:rPr>
          <w:rFonts w:cs="Arial"/>
        </w:rPr>
        <w:t xml:space="preserve"> therefore</w:t>
      </w:r>
      <w:r w:rsidRPr="00597002">
        <w:rPr>
          <w:rFonts w:cs="Arial"/>
        </w:rPr>
        <w:t xml:space="preserve"> to assess the potential for gains </w:t>
      </w:r>
      <w:r>
        <w:rPr>
          <w:rFonts w:cs="Arial"/>
        </w:rPr>
        <w:t>for inclusion in the budget.</w:t>
      </w:r>
    </w:p>
    <w:p w14:paraId="2D21E808" w14:textId="77777777" w:rsidR="00DA5579" w:rsidRDefault="003A3CFD" w:rsidP="00DA5579">
      <w:pPr>
        <w:tabs>
          <w:tab w:val="left" w:pos="851"/>
          <w:tab w:val="left" w:pos="1418"/>
        </w:tabs>
        <w:autoSpaceDE w:val="0"/>
        <w:autoSpaceDN w:val="0"/>
        <w:adjustRightInd w:val="0"/>
        <w:jc w:val="both"/>
        <w:rPr>
          <w:rFonts w:cs="Arial"/>
        </w:rPr>
      </w:pPr>
    </w:p>
    <w:p w14:paraId="2D21E809" w14:textId="3652ED17" w:rsidR="00DA5579" w:rsidRDefault="0058317E" w:rsidP="00DA5579">
      <w:pPr>
        <w:tabs>
          <w:tab w:val="left" w:pos="851"/>
          <w:tab w:val="left" w:pos="1418"/>
        </w:tabs>
        <w:autoSpaceDE w:val="0"/>
        <w:autoSpaceDN w:val="0"/>
        <w:adjustRightInd w:val="0"/>
        <w:jc w:val="both"/>
        <w:rPr>
          <w:rFonts w:cs="Arial"/>
        </w:rPr>
      </w:pPr>
      <w:r>
        <w:rPr>
          <w:rFonts w:cs="Arial"/>
        </w:rPr>
        <w:t>Interest paid was higher than budget due to the level of borrowing being higher than anticipated. Securing the long term loans involved some additional cost and the fees incurred on issuing the bond were charged in</w:t>
      </w:r>
      <w:r w:rsidR="00191893">
        <w:rPr>
          <w:rFonts w:cs="Arial"/>
        </w:rPr>
        <w:t>-</w:t>
      </w:r>
      <w:r>
        <w:rPr>
          <w:rFonts w:cs="Arial"/>
        </w:rPr>
        <w:t>year.</w:t>
      </w:r>
    </w:p>
    <w:p w14:paraId="2D21E80A" w14:textId="77777777" w:rsidR="00DA5579" w:rsidRDefault="003A3CFD" w:rsidP="00DA5579">
      <w:pPr>
        <w:jc w:val="both"/>
        <w:rPr>
          <w:b/>
          <w:szCs w:val="24"/>
        </w:rPr>
      </w:pPr>
    </w:p>
    <w:p w14:paraId="2D21E80B" w14:textId="77777777" w:rsidR="00DA5579" w:rsidRPr="00E3481C" w:rsidRDefault="0058317E" w:rsidP="00DA5579">
      <w:pPr>
        <w:jc w:val="both"/>
        <w:rPr>
          <w:b/>
          <w:szCs w:val="24"/>
        </w:rPr>
      </w:pPr>
      <w:r w:rsidRPr="00E3481C">
        <w:rPr>
          <w:b/>
          <w:szCs w:val="24"/>
        </w:rPr>
        <w:t>Treasury Management and Prudential Indicators 201</w:t>
      </w:r>
      <w:r>
        <w:rPr>
          <w:b/>
          <w:szCs w:val="24"/>
        </w:rPr>
        <w:t>9</w:t>
      </w:r>
      <w:r w:rsidRPr="00E3481C">
        <w:rPr>
          <w:b/>
          <w:szCs w:val="24"/>
        </w:rPr>
        <w:t>/</w:t>
      </w:r>
      <w:r>
        <w:rPr>
          <w:b/>
          <w:szCs w:val="24"/>
        </w:rPr>
        <w:t>20</w:t>
      </w:r>
    </w:p>
    <w:p w14:paraId="2D21E80C" w14:textId="77777777" w:rsidR="00DA5579" w:rsidRPr="00E3481C" w:rsidRDefault="003A3CFD" w:rsidP="00DA5579">
      <w:pPr>
        <w:autoSpaceDE w:val="0"/>
        <w:autoSpaceDN w:val="0"/>
        <w:jc w:val="both"/>
        <w:rPr>
          <w:b/>
          <w:color w:val="000000" w:themeColor="text1"/>
        </w:rPr>
      </w:pPr>
    </w:p>
    <w:p w14:paraId="2D21E80D" w14:textId="27D0FDE8" w:rsidR="00DA5579" w:rsidRPr="00E3481C" w:rsidRDefault="0058317E" w:rsidP="00DA5579">
      <w:pPr>
        <w:jc w:val="both"/>
        <w:rPr>
          <w:szCs w:val="24"/>
        </w:rPr>
      </w:pPr>
      <w:r w:rsidRPr="00E3481C">
        <w:rPr>
          <w:szCs w:val="24"/>
        </w:rPr>
        <w:t xml:space="preserve">The Local Government Act 2003 and supporting regulations require the </w:t>
      </w:r>
      <w:r>
        <w:rPr>
          <w:szCs w:val="24"/>
        </w:rPr>
        <w:t>c</w:t>
      </w:r>
      <w:r w:rsidRPr="00E3481C">
        <w:rPr>
          <w:szCs w:val="24"/>
        </w:rPr>
        <w:t xml:space="preserve">ouncil to have regard to the Prudential Code and to set prudential indicators to ensure the </w:t>
      </w:r>
      <w:r>
        <w:rPr>
          <w:szCs w:val="24"/>
        </w:rPr>
        <w:t>council's</w:t>
      </w:r>
      <w:r w:rsidRPr="00E3481C">
        <w:rPr>
          <w:szCs w:val="24"/>
        </w:rPr>
        <w:t xml:space="preserve"> capital investment plans are affordable,</w:t>
      </w:r>
      <w:r>
        <w:rPr>
          <w:szCs w:val="24"/>
        </w:rPr>
        <w:t xml:space="preserve"> </w:t>
      </w:r>
      <w:r w:rsidRPr="00E3481C">
        <w:rPr>
          <w:szCs w:val="24"/>
        </w:rPr>
        <w:t>prudent and sustainable</w:t>
      </w:r>
      <w:r w:rsidRPr="00E3481C">
        <w:rPr>
          <w:b/>
          <w:szCs w:val="24"/>
        </w:rPr>
        <w:t>.</w:t>
      </w:r>
      <w:r>
        <w:rPr>
          <w:szCs w:val="24"/>
        </w:rPr>
        <w:t xml:space="preserve"> </w:t>
      </w:r>
      <w:r w:rsidRPr="00E3481C">
        <w:rPr>
          <w:szCs w:val="24"/>
        </w:rPr>
        <w:t>A comparison of the actual position at 31 March 20</w:t>
      </w:r>
      <w:r>
        <w:rPr>
          <w:szCs w:val="24"/>
        </w:rPr>
        <w:t>20</w:t>
      </w:r>
      <w:r w:rsidR="00F517B5">
        <w:rPr>
          <w:szCs w:val="24"/>
        </w:rPr>
        <w:t>,</w:t>
      </w:r>
      <w:r w:rsidRPr="00E3481C">
        <w:rPr>
          <w:szCs w:val="24"/>
        </w:rPr>
        <w:t xml:space="preserve"> compared to the 201</w:t>
      </w:r>
      <w:r>
        <w:rPr>
          <w:szCs w:val="24"/>
        </w:rPr>
        <w:t>9</w:t>
      </w:r>
      <w:r w:rsidRPr="00E3481C">
        <w:rPr>
          <w:szCs w:val="24"/>
        </w:rPr>
        <w:t>/</w:t>
      </w:r>
      <w:r>
        <w:rPr>
          <w:szCs w:val="24"/>
        </w:rPr>
        <w:t xml:space="preserve">20 </w:t>
      </w:r>
      <w:r w:rsidRPr="00E3481C">
        <w:rPr>
          <w:szCs w:val="24"/>
        </w:rPr>
        <w:t>indicators set in the Treasury Management Strategy</w:t>
      </w:r>
      <w:r w:rsidR="00F517B5">
        <w:rPr>
          <w:szCs w:val="24"/>
        </w:rPr>
        <w:t>,</w:t>
      </w:r>
      <w:r w:rsidRPr="00E3481C">
        <w:rPr>
          <w:szCs w:val="24"/>
        </w:rPr>
        <w:t xml:space="preserve"> is set out </w:t>
      </w:r>
      <w:r>
        <w:rPr>
          <w:szCs w:val="24"/>
        </w:rPr>
        <w:t>as follows</w:t>
      </w:r>
      <w:r w:rsidRPr="00E3481C">
        <w:rPr>
          <w:szCs w:val="24"/>
        </w:rPr>
        <w:t>.</w:t>
      </w:r>
      <w:r>
        <w:rPr>
          <w:szCs w:val="24"/>
        </w:rPr>
        <w:t xml:space="preserve"> All a</w:t>
      </w:r>
      <w:r w:rsidRPr="00EE691F">
        <w:rPr>
          <w:szCs w:val="24"/>
        </w:rPr>
        <w:t>ctivity in the year complied</w:t>
      </w:r>
      <w:r w:rsidRPr="0070497D">
        <w:rPr>
          <w:szCs w:val="24"/>
        </w:rPr>
        <w:t xml:space="preserve"> with </w:t>
      </w:r>
      <w:r>
        <w:rPr>
          <w:szCs w:val="24"/>
        </w:rPr>
        <w:t>the</w:t>
      </w:r>
      <w:r w:rsidRPr="0070497D">
        <w:rPr>
          <w:szCs w:val="24"/>
        </w:rPr>
        <w:t xml:space="preserve"> Prudential Indicators </w:t>
      </w:r>
      <w:r>
        <w:rPr>
          <w:szCs w:val="24"/>
        </w:rPr>
        <w:t>and</w:t>
      </w:r>
      <w:r w:rsidRPr="0070497D">
        <w:rPr>
          <w:szCs w:val="24"/>
        </w:rPr>
        <w:t xml:space="preserve"> Treasury Management Policy Statement </w:t>
      </w:r>
      <w:r>
        <w:rPr>
          <w:szCs w:val="24"/>
        </w:rPr>
        <w:t>for the year</w:t>
      </w:r>
      <w:r w:rsidRPr="0070497D">
        <w:rPr>
          <w:szCs w:val="24"/>
        </w:rPr>
        <w:t>.</w:t>
      </w:r>
    </w:p>
    <w:p w14:paraId="2D21E80E" w14:textId="77777777" w:rsidR="00DA5579" w:rsidRPr="00E8130F" w:rsidRDefault="003A3CFD" w:rsidP="00DA5579">
      <w:pPr>
        <w:jc w:val="both"/>
        <w:rPr>
          <w:szCs w:val="24"/>
          <w:highlight w:val="yellow"/>
        </w:rPr>
      </w:pPr>
    </w:p>
    <w:p w14:paraId="2D21E80F" w14:textId="77777777" w:rsidR="00DA5579" w:rsidRPr="00895A6D" w:rsidRDefault="0058317E" w:rsidP="00DA5579">
      <w:pPr>
        <w:jc w:val="both"/>
        <w:rPr>
          <w:rFonts w:ascii="TT3691C3o00" w:hAnsi="TT3691C3o00" w:cs="TT3691C3o00"/>
          <w:b/>
          <w:szCs w:val="24"/>
        </w:rPr>
      </w:pPr>
      <w:r w:rsidRPr="00895A6D">
        <w:rPr>
          <w:b/>
          <w:szCs w:val="24"/>
          <w:u w:val="single"/>
        </w:rPr>
        <w:t>Prudential Indicators</w:t>
      </w:r>
    </w:p>
    <w:tbl>
      <w:tblPr>
        <w:tblW w:w="10825" w:type="dxa"/>
        <w:tblLook w:val="04A0" w:firstRow="1" w:lastRow="0" w:firstColumn="1" w:lastColumn="0" w:noHBand="0" w:noVBand="1"/>
      </w:tblPr>
      <w:tblGrid>
        <w:gridCol w:w="9923"/>
        <w:gridCol w:w="902"/>
      </w:tblGrid>
      <w:tr w:rsidR="00F517B5" w14:paraId="2D21E830" w14:textId="77777777" w:rsidTr="00F517B5">
        <w:trPr>
          <w:trHeight w:val="313"/>
        </w:trPr>
        <w:tc>
          <w:tcPr>
            <w:tcW w:w="9923" w:type="dxa"/>
            <w:tcBorders>
              <w:top w:val="nil"/>
              <w:left w:val="nil"/>
              <w:bottom w:val="nil"/>
              <w:right w:val="nil"/>
            </w:tcBorders>
            <w:shd w:val="clear" w:color="auto" w:fill="auto"/>
            <w:vAlign w:val="center"/>
            <w:hideMark/>
          </w:tcPr>
          <w:p w14:paraId="2D21E810" w14:textId="77777777" w:rsidR="00F517B5" w:rsidRDefault="00F517B5" w:rsidP="00DA5579">
            <w:pPr>
              <w:jc w:val="both"/>
              <w:rPr>
                <w:rFonts w:cs="Arial"/>
                <w:color w:val="000000"/>
                <w:szCs w:val="24"/>
              </w:rPr>
            </w:pPr>
          </w:p>
          <w:tbl>
            <w:tblPr>
              <w:tblW w:w="9341" w:type="dxa"/>
              <w:tblLook w:val="04A0" w:firstRow="1" w:lastRow="0" w:firstColumn="1" w:lastColumn="0" w:noHBand="0" w:noVBand="1"/>
            </w:tblPr>
            <w:tblGrid>
              <w:gridCol w:w="6689"/>
              <w:gridCol w:w="1277"/>
              <w:gridCol w:w="1375"/>
            </w:tblGrid>
            <w:tr w:rsidR="00F517B5" w14:paraId="2D21E814" w14:textId="77777777" w:rsidTr="00191893">
              <w:trPr>
                <w:trHeight w:val="315"/>
              </w:trPr>
              <w:tc>
                <w:tcPr>
                  <w:tcW w:w="6689" w:type="dxa"/>
                  <w:tcBorders>
                    <w:top w:val="single" w:sz="8" w:space="0" w:color="auto"/>
                    <w:left w:val="single" w:sz="8" w:space="0" w:color="auto"/>
                    <w:bottom w:val="nil"/>
                    <w:right w:val="single" w:sz="8" w:space="0" w:color="auto"/>
                  </w:tcBorders>
                  <w:shd w:val="clear" w:color="auto" w:fill="auto"/>
                  <w:vAlign w:val="center"/>
                  <w:hideMark/>
                </w:tcPr>
                <w:p w14:paraId="2D21E811" w14:textId="77777777" w:rsidR="00F517B5" w:rsidRPr="009E293B" w:rsidRDefault="00F517B5" w:rsidP="00DA5579">
                  <w:pPr>
                    <w:rPr>
                      <w:rFonts w:cs="Arial"/>
                      <w:b/>
                      <w:bCs/>
                      <w:color w:val="000000"/>
                      <w:szCs w:val="24"/>
                    </w:rPr>
                  </w:pPr>
                  <w:r w:rsidRPr="009E293B">
                    <w:rPr>
                      <w:rFonts w:cs="Arial"/>
                      <w:b/>
                      <w:bCs/>
                      <w:color w:val="000000"/>
                      <w:szCs w:val="24"/>
                    </w:rPr>
                    <w:t>Authorised limit for external debt</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D21E812" w14:textId="77777777" w:rsidR="00F517B5" w:rsidRPr="009E293B" w:rsidRDefault="00F517B5" w:rsidP="00DA5579">
                  <w:pPr>
                    <w:jc w:val="center"/>
                    <w:rPr>
                      <w:rFonts w:cs="Arial"/>
                      <w:b/>
                      <w:bCs/>
                      <w:color w:val="000000"/>
                      <w:szCs w:val="24"/>
                    </w:rPr>
                  </w:pPr>
                  <w:r w:rsidRPr="009E293B">
                    <w:rPr>
                      <w:rFonts w:cs="Arial"/>
                      <w:b/>
                      <w:bCs/>
                      <w:color w:val="000000"/>
                      <w:szCs w:val="24"/>
                    </w:rPr>
                    <w:t>201</w:t>
                  </w:r>
                  <w:r>
                    <w:rPr>
                      <w:rFonts w:cs="Arial"/>
                      <w:b/>
                      <w:bCs/>
                      <w:color w:val="000000"/>
                      <w:szCs w:val="24"/>
                    </w:rPr>
                    <w:t>9</w:t>
                  </w:r>
                  <w:r w:rsidRPr="009E293B">
                    <w:rPr>
                      <w:rFonts w:cs="Arial"/>
                      <w:b/>
                      <w:bCs/>
                      <w:color w:val="000000"/>
                      <w:szCs w:val="24"/>
                    </w:rPr>
                    <w:t>/</w:t>
                  </w:r>
                  <w:r>
                    <w:rPr>
                      <w:rFonts w:cs="Arial"/>
                      <w:b/>
                      <w:bCs/>
                      <w:color w:val="000000"/>
                      <w:szCs w:val="24"/>
                    </w:rPr>
                    <w:t>20</w:t>
                  </w:r>
                </w:p>
              </w:tc>
              <w:tc>
                <w:tcPr>
                  <w:tcW w:w="13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21E813" w14:textId="77777777" w:rsidR="00F517B5" w:rsidRPr="009E293B" w:rsidRDefault="00F517B5" w:rsidP="00DA5579">
                  <w:pPr>
                    <w:jc w:val="center"/>
                    <w:rPr>
                      <w:rFonts w:cs="Arial"/>
                      <w:b/>
                      <w:bCs/>
                      <w:color w:val="000000"/>
                      <w:szCs w:val="24"/>
                    </w:rPr>
                  </w:pPr>
                  <w:r w:rsidRPr="009E293B">
                    <w:rPr>
                      <w:rFonts w:cs="Arial"/>
                      <w:b/>
                      <w:bCs/>
                      <w:color w:val="000000"/>
                      <w:szCs w:val="24"/>
                    </w:rPr>
                    <w:t>Actual</w:t>
                  </w:r>
                </w:p>
              </w:tc>
            </w:tr>
            <w:tr w:rsidR="00F517B5" w14:paraId="2D21E818" w14:textId="77777777" w:rsidTr="00191893">
              <w:trPr>
                <w:trHeight w:val="615"/>
              </w:trPr>
              <w:tc>
                <w:tcPr>
                  <w:tcW w:w="6689" w:type="dxa"/>
                  <w:tcBorders>
                    <w:top w:val="nil"/>
                    <w:left w:val="single" w:sz="8" w:space="0" w:color="auto"/>
                    <w:bottom w:val="single" w:sz="4" w:space="0" w:color="auto"/>
                    <w:right w:val="single" w:sz="8" w:space="0" w:color="auto"/>
                  </w:tcBorders>
                  <w:shd w:val="clear" w:color="auto" w:fill="auto"/>
                  <w:vAlign w:val="center"/>
                  <w:hideMark/>
                </w:tcPr>
                <w:p w14:paraId="2D21E815" w14:textId="77777777" w:rsidR="00F517B5" w:rsidRPr="009E293B" w:rsidRDefault="00F517B5" w:rsidP="00DA5579">
                  <w:pPr>
                    <w:rPr>
                      <w:rFonts w:cs="Arial"/>
                      <w:color w:val="000000"/>
                      <w:szCs w:val="24"/>
                    </w:rPr>
                  </w:pPr>
                  <w:r w:rsidRPr="009E293B">
                    <w:rPr>
                      <w:rFonts w:cs="Arial"/>
                      <w:color w:val="000000"/>
                      <w:szCs w:val="24"/>
                    </w:rPr>
                    <w:t xml:space="preserve">The </w:t>
                  </w:r>
                  <w:r>
                    <w:rPr>
                      <w:rFonts w:cs="Arial"/>
                      <w:color w:val="000000"/>
                      <w:szCs w:val="24"/>
                    </w:rPr>
                    <w:t>a</w:t>
                  </w:r>
                  <w:r w:rsidRPr="009E293B">
                    <w:rPr>
                      <w:rFonts w:cs="Arial"/>
                      <w:color w:val="000000"/>
                      <w:szCs w:val="24"/>
                    </w:rPr>
                    <w:t xml:space="preserve">uthorised </w:t>
                  </w:r>
                  <w:r>
                    <w:rPr>
                      <w:rFonts w:cs="Arial"/>
                      <w:color w:val="000000"/>
                      <w:szCs w:val="24"/>
                    </w:rPr>
                    <w:t>l</w:t>
                  </w:r>
                  <w:r w:rsidRPr="009E293B">
                    <w:rPr>
                      <w:rFonts w:cs="Arial"/>
                      <w:color w:val="000000"/>
                      <w:szCs w:val="24"/>
                    </w:rPr>
                    <w:t>imit is a prudent estimate of deb</w:t>
                  </w:r>
                  <w:r>
                    <w:rPr>
                      <w:rFonts w:cs="Arial"/>
                      <w:color w:val="000000"/>
                      <w:szCs w:val="24"/>
                    </w:rPr>
                    <w:t>t which reflects the council's</w:t>
                  </w:r>
                  <w:r w:rsidRPr="009E293B">
                    <w:rPr>
                      <w:rFonts w:cs="Arial"/>
                      <w:color w:val="000000"/>
                      <w:szCs w:val="24"/>
                    </w:rPr>
                    <w:t xml:space="preserve"> capital expenditure plans and allows sufficient headroom for unusual cash movements.</w:t>
                  </w:r>
                </w:p>
              </w:tc>
              <w:tc>
                <w:tcPr>
                  <w:tcW w:w="1277" w:type="dxa"/>
                  <w:vMerge/>
                  <w:tcBorders>
                    <w:top w:val="single" w:sz="8" w:space="0" w:color="auto"/>
                    <w:left w:val="single" w:sz="8" w:space="0" w:color="auto"/>
                    <w:bottom w:val="single" w:sz="4" w:space="0" w:color="auto"/>
                    <w:right w:val="single" w:sz="8" w:space="0" w:color="auto"/>
                  </w:tcBorders>
                  <w:vAlign w:val="center"/>
                  <w:hideMark/>
                </w:tcPr>
                <w:p w14:paraId="2D21E816" w14:textId="77777777" w:rsidR="00F517B5" w:rsidRPr="009E293B" w:rsidRDefault="00F517B5" w:rsidP="00DA5579">
                  <w:pPr>
                    <w:rPr>
                      <w:rFonts w:cs="Arial"/>
                      <w:b/>
                      <w:bCs/>
                      <w:color w:val="000000"/>
                      <w:szCs w:val="24"/>
                    </w:rPr>
                  </w:pPr>
                </w:p>
              </w:tc>
              <w:tc>
                <w:tcPr>
                  <w:tcW w:w="1375" w:type="dxa"/>
                  <w:vMerge/>
                  <w:tcBorders>
                    <w:top w:val="single" w:sz="8" w:space="0" w:color="auto"/>
                    <w:left w:val="single" w:sz="8" w:space="0" w:color="auto"/>
                    <w:bottom w:val="single" w:sz="4" w:space="0" w:color="auto"/>
                    <w:right w:val="single" w:sz="8" w:space="0" w:color="auto"/>
                  </w:tcBorders>
                  <w:vAlign w:val="center"/>
                  <w:hideMark/>
                </w:tcPr>
                <w:p w14:paraId="2D21E817" w14:textId="77777777" w:rsidR="00F517B5" w:rsidRPr="009E293B" w:rsidRDefault="00F517B5" w:rsidP="00DA5579">
                  <w:pPr>
                    <w:rPr>
                      <w:rFonts w:cs="Arial"/>
                      <w:b/>
                      <w:bCs/>
                      <w:color w:val="000000"/>
                      <w:szCs w:val="24"/>
                    </w:rPr>
                  </w:pPr>
                </w:p>
              </w:tc>
            </w:tr>
            <w:tr w:rsidR="00F517B5" w14:paraId="2D21E81C" w14:textId="77777777" w:rsidTr="00191893">
              <w:trPr>
                <w:trHeight w:val="330"/>
              </w:trPr>
              <w:tc>
                <w:tcPr>
                  <w:tcW w:w="6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1E819" w14:textId="77777777" w:rsidR="00F517B5" w:rsidRPr="009E293B" w:rsidRDefault="00F517B5" w:rsidP="00DA5579">
                  <w:pPr>
                    <w:rPr>
                      <w:rFonts w:cs="Arial"/>
                      <w:b/>
                      <w:bCs/>
                      <w:color w:val="000000"/>
                      <w:szCs w:val="24"/>
                    </w:rPr>
                  </w:pPr>
                  <w:r w:rsidRPr="009E293B">
                    <w:rPr>
                      <w:rFonts w:cs="Arial"/>
                      <w:b/>
                      <w:bCs/>
                      <w:color w:val="000000"/>
                      <w:szCs w:val="24"/>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1E81A" w14:textId="77777777" w:rsidR="00F517B5" w:rsidRPr="009E293B" w:rsidRDefault="00F517B5" w:rsidP="00DA5579">
                  <w:pPr>
                    <w:jc w:val="center"/>
                    <w:rPr>
                      <w:rFonts w:cs="Arial"/>
                      <w:b/>
                      <w:bCs/>
                      <w:color w:val="000000"/>
                      <w:szCs w:val="24"/>
                    </w:rPr>
                  </w:pPr>
                  <w:r w:rsidRPr="009E293B">
                    <w:rPr>
                      <w:rFonts w:cs="Arial"/>
                      <w:b/>
                      <w:bCs/>
                      <w:color w:val="000000"/>
                      <w:szCs w:val="24"/>
                    </w:rPr>
                    <w:t>£m</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1E81B" w14:textId="77777777" w:rsidR="00F517B5" w:rsidRPr="009E293B" w:rsidRDefault="00F517B5" w:rsidP="00DA5579">
                  <w:pPr>
                    <w:jc w:val="center"/>
                    <w:rPr>
                      <w:rFonts w:cs="Arial"/>
                      <w:b/>
                      <w:bCs/>
                      <w:color w:val="000000"/>
                      <w:szCs w:val="24"/>
                    </w:rPr>
                  </w:pPr>
                  <w:r w:rsidRPr="009E293B">
                    <w:rPr>
                      <w:rFonts w:cs="Arial"/>
                      <w:b/>
                      <w:bCs/>
                      <w:color w:val="000000"/>
                      <w:szCs w:val="24"/>
                    </w:rPr>
                    <w:t>£m</w:t>
                  </w:r>
                </w:p>
              </w:tc>
            </w:tr>
            <w:tr w:rsidR="00F517B5" w14:paraId="2D21E820" w14:textId="77777777" w:rsidTr="00191893">
              <w:trPr>
                <w:trHeight w:val="315"/>
              </w:trPr>
              <w:tc>
                <w:tcPr>
                  <w:tcW w:w="6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1E81D" w14:textId="77777777" w:rsidR="00F517B5" w:rsidRPr="009E293B" w:rsidRDefault="00F517B5" w:rsidP="00DA5579">
                  <w:pPr>
                    <w:rPr>
                      <w:rFonts w:cs="Arial"/>
                      <w:color w:val="000000"/>
                      <w:szCs w:val="24"/>
                    </w:rPr>
                  </w:pPr>
                  <w:r w:rsidRPr="009E293B">
                    <w:rPr>
                      <w:rFonts w:cs="Arial"/>
                      <w:color w:val="000000"/>
                      <w:szCs w:val="24"/>
                    </w:rPr>
                    <w:t>Borrowing</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E81E" w14:textId="77777777" w:rsidR="00F517B5" w:rsidRPr="009E293B" w:rsidRDefault="00F517B5" w:rsidP="00DA5579">
                  <w:pPr>
                    <w:jc w:val="center"/>
                    <w:rPr>
                      <w:rFonts w:cs="Arial"/>
                      <w:color w:val="000000"/>
                      <w:szCs w:val="24"/>
                    </w:rPr>
                  </w:pPr>
                  <w:r>
                    <w:rPr>
                      <w:rFonts w:cs="Arial"/>
                      <w:color w:val="000000"/>
                      <w:szCs w:val="24"/>
                    </w:rPr>
                    <w:t>1,600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E81F" w14:textId="77777777" w:rsidR="00F517B5" w:rsidRPr="009E293B" w:rsidRDefault="00F517B5" w:rsidP="00DA5579">
                  <w:pPr>
                    <w:jc w:val="center"/>
                    <w:rPr>
                      <w:rFonts w:cs="Arial"/>
                      <w:color w:val="000000"/>
                      <w:szCs w:val="24"/>
                    </w:rPr>
                  </w:pPr>
                  <w:r>
                    <w:rPr>
                      <w:rFonts w:cs="Arial"/>
                      <w:color w:val="000000"/>
                      <w:szCs w:val="24"/>
                    </w:rPr>
                    <w:t>1,545</w:t>
                  </w:r>
                </w:p>
              </w:tc>
            </w:tr>
            <w:tr w:rsidR="00F517B5" w14:paraId="2D21E824" w14:textId="77777777" w:rsidTr="00191893">
              <w:trPr>
                <w:trHeight w:val="315"/>
              </w:trPr>
              <w:tc>
                <w:tcPr>
                  <w:tcW w:w="6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1E821" w14:textId="3737283D" w:rsidR="00F517B5" w:rsidRPr="009E293B" w:rsidRDefault="00F517B5" w:rsidP="00DA5579">
                  <w:pPr>
                    <w:rPr>
                      <w:rFonts w:cs="Arial"/>
                      <w:color w:val="000000"/>
                      <w:szCs w:val="24"/>
                    </w:rPr>
                  </w:pPr>
                  <w:r w:rsidRPr="009E293B">
                    <w:rPr>
                      <w:rFonts w:cs="Arial"/>
                      <w:color w:val="000000"/>
                      <w:szCs w:val="24"/>
                    </w:rPr>
                    <w:t>Other long term liabilities (</w:t>
                  </w:r>
                  <w:r w:rsidR="00191893" w:rsidRPr="00191893">
                    <w:rPr>
                      <w:rFonts w:cs="Arial"/>
                      <w:color w:val="000000"/>
                      <w:szCs w:val="24"/>
                    </w:rPr>
                    <w:t>private finance initiative</w:t>
                  </w:r>
                  <w:r w:rsidRPr="009E293B">
                    <w:rPr>
                      <w:rFonts w:cs="Arial"/>
                      <w:color w:val="000000"/>
                      <w:szCs w:val="24"/>
                    </w:rPr>
                    <w:t xml:space="preserve"> schemes)</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E822" w14:textId="77777777" w:rsidR="00F517B5" w:rsidRPr="009E293B" w:rsidRDefault="00F517B5" w:rsidP="00DA5579">
                  <w:pPr>
                    <w:jc w:val="center"/>
                    <w:rPr>
                      <w:rFonts w:cs="Arial"/>
                      <w:color w:val="000000"/>
                      <w:szCs w:val="24"/>
                    </w:rPr>
                  </w:pPr>
                  <w:r>
                    <w:rPr>
                      <w:rFonts w:cs="Arial"/>
                      <w:color w:val="000000"/>
                      <w:szCs w:val="24"/>
                    </w:rPr>
                    <w:t>150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E823" w14:textId="77777777" w:rsidR="00F517B5" w:rsidRPr="009E293B" w:rsidRDefault="00F517B5" w:rsidP="00DA5579">
                  <w:pPr>
                    <w:jc w:val="center"/>
                    <w:rPr>
                      <w:rFonts w:cs="Arial"/>
                      <w:color w:val="000000"/>
                      <w:szCs w:val="24"/>
                    </w:rPr>
                  </w:pPr>
                  <w:r>
                    <w:rPr>
                      <w:rFonts w:cs="Arial"/>
                      <w:color w:val="000000"/>
                      <w:szCs w:val="24"/>
                    </w:rPr>
                    <w:t>146</w:t>
                  </w:r>
                </w:p>
              </w:tc>
            </w:tr>
            <w:tr w:rsidR="00F517B5" w14:paraId="2D21E828" w14:textId="77777777" w:rsidTr="00191893">
              <w:trPr>
                <w:trHeight w:val="330"/>
              </w:trPr>
              <w:tc>
                <w:tcPr>
                  <w:tcW w:w="6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1E825" w14:textId="77777777" w:rsidR="00F517B5" w:rsidRPr="009E293B" w:rsidRDefault="00F517B5" w:rsidP="00DA5579">
                  <w:pPr>
                    <w:rPr>
                      <w:rFonts w:cs="Arial"/>
                      <w:b/>
                      <w:bCs/>
                      <w:color w:val="000000"/>
                      <w:szCs w:val="24"/>
                    </w:rPr>
                  </w:pPr>
                  <w:r w:rsidRPr="009E293B">
                    <w:rPr>
                      <w:rFonts w:cs="Arial"/>
                      <w:b/>
                      <w:bCs/>
                      <w:color w:val="000000"/>
                      <w:szCs w:val="24"/>
                    </w:rPr>
                    <w:t xml:space="preserve">TOTAL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E826" w14:textId="77777777" w:rsidR="00F517B5" w:rsidRPr="009E293B" w:rsidRDefault="00F517B5" w:rsidP="00DA5579">
                  <w:pPr>
                    <w:jc w:val="center"/>
                    <w:rPr>
                      <w:rFonts w:cs="Arial"/>
                      <w:b/>
                      <w:bCs/>
                      <w:color w:val="000000"/>
                      <w:szCs w:val="24"/>
                    </w:rPr>
                  </w:pPr>
                  <w:r>
                    <w:rPr>
                      <w:rFonts w:cs="Arial"/>
                      <w:b/>
                      <w:bCs/>
                      <w:color w:val="000000"/>
                      <w:szCs w:val="24"/>
                    </w:rPr>
                    <w:t>1,750</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E827" w14:textId="77777777" w:rsidR="00F517B5" w:rsidRPr="009E293B" w:rsidRDefault="00F517B5" w:rsidP="00DA5579">
                  <w:pPr>
                    <w:jc w:val="center"/>
                    <w:rPr>
                      <w:rFonts w:cs="Arial"/>
                      <w:b/>
                      <w:bCs/>
                      <w:color w:val="000000"/>
                      <w:szCs w:val="24"/>
                    </w:rPr>
                  </w:pPr>
                  <w:r>
                    <w:rPr>
                      <w:rFonts w:cs="Arial"/>
                      <w:b/>
                      <w:bCs/>
                      <w:color w:val="000000"/>
                      <w:szCs w:val="24"/>
                    </w:rPr>
                    <w:t>1,691</w:t>
                  </w:r>
                </w:p>
              </w:tc>
            </w:tr>
          </w:tbl>
          <w:p w14:paraId="2D21E82D" w14:textId="77777777" w:rsidR="00F517B5" w:rsidRPr="00E8130F" w:rsidRDefault="00F517B5" w:rsidP="00DA5579">
            <w:pPr>
              <w:jc w:val="both"/>
              <w:rPr>
                <w:rFonts w:cs="Arial"/>
                <w:color w:val="000000"/>
                <w:szCs w:val="24"/>
                <w:highlight w:val="yellow"/>
              </w:rPr>
            </w:pPr>
          </w:p>
        </w:tc>
        <w:tc>
          <w:tcPr>
            <w:tcW w:w="902" w:type="dxa"/>
            <w:tcBorders>
              <w:top w:val="nil"/>
              <w:left w:val="nil"/>
              <w:bottom w:val="nil"/>
              <w:right w:val="nil"/>
            </w:tcBorders>
            <w:shd w:val="clear" w:color="auto" w:fill="auto"/>
            <w:noWrap/>
            <w:vAlign w:val="center"/>
            <w:hideMark/>
          </w:tcPr>
          <w:p w14:paraId="2D21E82F" w14:textId="77777777" w:rsidR="00F517B5" w:rsidRPr="00E8130F" w:rsidRDefault="00F517B5" w:rsidP="00DA5579">
            <w:pPr>
              <w:jc w:val="both"/>
              <w:rPr>
                <w:rFonts w:ascii="Times New Roman" w:hAnsi="Times New Roman"/>
                <w:sz w:val="20"/>
                <w:highlight w:val="yellow"/>
              </w:rPr>
            </w:pPr>
          </w:p>
        </w:tc>
      </w:tr>
      <w:tr w:rsidR="00F517B5" w14:paraId="2D21E850" w14:textId="77777777" w:rsidTr="00F517B5">
        <w:trPr>
          <w:trHeight w:val="313"/>
        </w:trPr>
        <w:tc>
          <w:tcPr>
            <w:tcW w:w="9923" w:type="dxa"/>
            <w:tcBorders>
              <w:top w:val="nil"/>
              <w:left w:val="nil"/>
              <w:bottom w:val="nil"/>
              <w:right w:val="nil"/>
            </w:tcBorders>
            <w:shd w:val="clear" w:color="auto" w:fill="auto"/>
            <w:vAlign w:val="center"/>
            <w:hideMark/>
          </w:tcPr>
          <w:tbl>
            <w:tblPr>
              <w:tblW w:w="9384" w:type="dxa"/>
              <w:tblLook w:val="04A0" w:firstRow="1" w:lastRow="0" w:firstColumn="1" w:lastColumn="0" w:noHBand="0" w:noVBand="1"/>
            </w:tblPr>
            <w:tblGrid>
              <w:gridCol w:w="6689"/>
              <w:gridCol w:w="1277"/>
              <w:gridCol w:w="1418"/>
            </w:tblGrid>
            <w:tr w:rsidR="00F517B5" w14:paraId="2D21E834" w14:textId="77777777" w:rsidTr="009A21CE">
              <w:trPr>
                <w:trHeight w:val="315"/>
              </w:trPr>
              <w:tc>
                <w:tcPr>
                  <w:tcW w:w="6689" w:type="dxa"/>
                  <w:tcBorders>
                    <w:top w:val="single" w:sz="8" w:space="0" w:color="auto"/>
                    <w:left w:val="single" w:sz="8" w:space="0" w:color="auto"/>
                    <w:bottom w:val="nil"/>
                    <w:right w:val="single" w:sz="8" w:space="0" w:color="auto"/>
                  </w:tcBorders>
                  <w:shd w:val="clear" w:color="auto" w:fill="auto"/>
                  <w:vAlign w:val="center"/>
                  <w:hideMark/>
                </w:tcPr>
                <w:p w14:paraId="2D21E831" w14:textId="77777777" w:rsidR="00F517B5" w:rsidRPr="009E293B" w:rsidRDefault="00F517B5" w:rsidP="00DA5579">
                  <w:pPr>
                    <w:rPr>
                      <w:rFonts w:cs="Arial"/>
                      <w:b/>
                      <w:bCs/>
                      <w:color w:val="000000"/>
                      <w:szCs w:val="24"/>
                    </w:rPr>
                  </w:pPr>
                  <w:r w:rsidRPr="009E293B">
                    <w:rPr>
                      <w:rFonts w:cs="Arial"/>
                      <w:b/>
                      <w:bCs/>
                      <w:color w:val="000000"/>
                      <w:szCs w:val="24"/>
                    </w:rPr>
                    <w:lastRenderedPageBreak/>
                    <w:t>Operational boundary for external debt</w:t>
                  </w:r>
                </w:p>
              </w:tc>
              <w:tc>
                <w:tcPr>
                  <w:tcW w:w="12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969D46D" w14:textId="77777777" w:rsidR="00F517B5" w:rsidRDefault="00F517B5" w:rsidP="00DA5579">
                  <w:pPr>
                    <w:jc w:val="center"/>
                    <w:rPr>
                      <w:rFonts w:cs="Arial"/>
                      <w:b/>
                      <w:bCs/>
                      <w:color w:val="000000"/>
                      <w:szCs w:val="24"/>
                    </w:rPr>
                  </w:pPr>
                  <w:r w:rsidRPr="009E293B">
                    <w:rPr>
                      <w:rFonts w:cs="Arial"/>
                      <w:b/>
                      <w:bCs/>
                      <w:color w:val="000000"/>
                      <w:szCs w:val="24"/>
                    </w:rPr>
                    <w:t>201</w:t>
                  </w:r>
                  <w:r>
                    <w:rPr>
                      <w:rFonts w:cs="Arial"/>
                      <w:b/>
                      <w:bCs/>
                      <w:color w:val="000000"/>
                      <w:szCs w:val="24"/>
                    </w:rPr>
                    <w:t>9</w:t>
                  </w:r>
                  <w:r w:rsidRPr="009E293B">
                    <w:rPr>
                      <w:rFonts w:cs="Arial"/>
                      <w:b/>
                      <w:bCs/>
                      <w:color w:val="000000"/>
                      <w:szCs w:val="24"/>
                    </w:rPr>
                    <w:t>/</w:t>
                  </w:r>
                  <w:r>
                    <w:rPr>
                      <w:rFonts w:cs="Arial"/>
                      <w:b/>
                      <w:bCs/>
                      <w:color w:val="000000"/>
                      <w:szCs w:val="24"/>
                    </w:rPr>
                    <w:t>20</w:t>
                  </w:r>
                </w:p>
                <w:p w14:paraId="2D21E832" w14:textId="7E06A96C" w:rsidR="00F517B5" w:rsidRPr="009E293B" w:rsidRDefault="00F517B5" w:rsidP="00DA5579">
                  <w:pPr>
                    <w:jc w:val="center"/>
                    <w:rPr>
                      <w:rFonts w:cs="Arial"/>
                      <w:b/>
                      <w:bCs/>
                      <w:color w:val="000000"/>
                      <w:szCs w:val="24"/>
                    </w:rPr>
                  </w:pPr>
                  <w:r w:rsidRPr="00F517B5">
                    <w:rPr>
                      <w:rFonts w:cs="Arial"/>
                      <w:b/>
                      <w:bCs/>
                      <w:color w:val="000000"/>
                      <w:szCs w:val="24"/>
                    </w:rPr>
                    <w:t>£m</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BB56D0" w14:textId="77777777" w:rsidR="00F517B5" w:rsidRDefault="00F517B5" w:rsidP="00DA5579">
                  <w:pPr>
                    <w:jc w:val="center"/>
                    <w:rPr>
                      <w:rFonts w:cs="Arial"/>
                      <w:b/>
                      <w:bCs/>
                      <w:color w:val="000000"/>
                      <w:szCs w:val="24"/>
                    </w:rPr>
                  </w:pPr>
                  <w:r w:rsidRPr="009E293B">
                    <w:rPr>
                      <w:rFonts w:cs="Arial"/>
                      <w:b/>
                      <w:bCs/>
                      <w:color w:val="000000"/>
                      <w:szCs w:val="24"/>
                    </w:rPr>
                    <w:t>Actual</w:t>
                  </w:r>
                </w:p>
                <w:p w14:paraId="2D21E833" w14:textId="2D83BA87" w:rsidR="00F517B5" w:rsidRPr="009E293B" w:rsidRDefault="00F517B5" w:rsidP="00DA5579">
                  <w:pPr>
                    <w:jc w:val="center"/>
                    <w:rPr>
                      <w:rFonts w:cs="Arial"/>
                      <w:b/>
                      <w:bCs/>
                      <w:color w:val="000000"/>
                      <w:szCs w:val="24"/>
                    </w:rPr>
                  </w:pPr>
                  <w:r w:rsidRPr="00F517B5">
                    <w:rPr>
                      <w:rFonts w:cs="Arial"/>
                      <w:b/>
                      <w:bCs/>
                      <w:color w:val="000000"/>
                      <w:szCs w:val="24"/>
                    </w:rPr>
                    <w:t>£m</w:t>
                  </w:r>
                </w:p>
              </w:tc>
            </w:tr>
            <w:tr w:rsidR="00F517B5" w14:paraId="2D21E838" w14:textId="77777777" w:rsidTr="009A21CE">
              <w:trPr>
                <w:trHeight w:val="915"/>
              </w:trPr>
              <w:tc>
                <w:tcPr>
                  <w:tcW w:w="6689" w:type="dxa"/>
                  <w:tcBorders>
                    <w:top w:val="nil"/>
                    <w:left w:val="single" w:sz="8" w:space="0" w:color="auto"/>
                    <w:bottom w:val="single" w:sz="8" w:space="0" w:color="auto"/>
                    <w:right w:val="single" w:sz="8" w:space="0" w:color="auto"/>
                  </w:tcBorders>
                  <w:shd w:val="clear" w:color="auto" w:fill="auto"/>
                  <w:vAlign w:val="center"/>
                  <w:hideMark/>
                </w:tcPr>
                <w:p w14:paraId="2D21E835" w14:textId="77777777" w:rsidR="00F517B5" w:rsidRPr="009E293B" w:rsidRDefault="00F517B5" w:rsidP="00DA5579">
                  <w:pPr>
                    <w:rPr>
                      <w:rFonts w:cs="Arial"/>
                      <w:color w:val="000000"/>
                      <w:szCs w:val="24"/>
                    </w:rPr>
                  </w:pPr>
                  <w:r w:rsidRPr="009E293B">
                    <w:rPr>
                      <w:rFonts w:cs="Arial"/>
                      <w:color w:val="000000"/>
                      <w:szCs w:val="24"/>
                    </w:rPr>
                    <w:t xml:space="preserve">The </w:t>
                  </w:r>
                  <w:r>
                    <w:rPr>
                      <w:rFonts w:cs="Arial"/>
                      <w:color w:val="000000"/>
                      <w:szCs w:val="24"/>
                    </w:rPr>
                    <w:t>o</w:t>
                  </w:r>
                  <w:r w:rsidRPr="009E293B">
                    <w:rPr>
                      <w:rFonts w:cs="Arial"/>
                      <w:color w:val="000000"/>
                      <w:szCs w:val="24"/>
                    </w:rPr>
                    <w:t xml:space="preserve">perational </w:t>
                  </w:r>
                  <w:r>
                    <w:rPr>
                      <w:rFonts w:cs="Arial"/>
                      <w:color w:val="000000"/>
                      <w:szCs w:val="24"/>
                    </w:rPr>
                    <w:t>b</w:t>
                  </w:r>
                  <w:r w:rsidRPr="009E293B">
                    <w:rPr>
                      <w:rFonts w:cs="Arial"/>
                      <w:color w:val="000000"/>
                      <w:szCs w:val="24"/>
                    </w:rPr>
                    <w:t xml:space="preserve">oundary is a prudent estimate of debt but </w:t>
                  </w:r>
                  <w:r>
                    <w:rPr>
                      <w:rFonts w:cs="Arial"/>
                      <w:color w:val="000000"/>
                      <w:szCs w:val="24"/>
                    </w:rPr>
                    <w:t xml:space="preserve">has </w:t>
                  </w:r>
                  <w:r w:rsidRPr="009E293B">
                    <w:rPr>
                      <w:rFonts w:cs="Arial"/>
                      <w:color w:val="000000"/>
                      <w:szCs w:val="24"/>
                    </w:rPr>
                    <w:t>no provision for unusual cash movements. It represents the estimated maximum external debt arising as a con</w:t>
                  </w:r>
                  <w:r>
                    <w:rPr>
                      <w:rFonts w:cs="Arial"/>
                      <w:color w:val="000000"/>
                      <w:szCs w:val="24"/>
                    </w:rPr>
                    <w:t>sequence of the council's</w:t>
                  </w:r>
                  <w:r w:rsidRPr="009E293B">
                    <w:rPr>
                      <w:rFonts w:cs="Arial"/>
                      <w:color w:val="000000"/>
                      <w:szCs w:val="24"/>
                    </w:rPr>
                    <w:t xml:space="preserve"> current plans.</w:t>
                  </w:r>
                </w:p>
              </w:tc>
              <w:tc>
                <w:tcPr>
                  <w:tcW w:w="1277" w:type="dxa"/>
                  <w:vMerge/>
                  <w:tcBorders>
                    <w:top w:val="single" w:sz="8" w:space="0" w:color="auto"/>
                    <w:left w:val="single" w:sz="8" w:space="0" w:color="auto"/>
                    <w:bottom w:val="single" w:sz="8" w:space="0" w:color="000000"/>
                    <w:right w:val="single" w:sz="8" w:space="0" w:color="auto"/>
                  </w:tcBorders>
                  <w:vAlign w:val="center"/>
                  <w:hideMark/>
                </w:tcPr>
                <w:p w14:paraId="2D21E836" w14:textId="77777777" w:rsidR="00F517B5" w:rsidRPr="009E293B" w:rsidRDefault="00F517B5" w:rsidP="00DA5579">
                  <w:pPr>
                    <w:rPr>
                      <w:rFonts w:cs="Arial"/>
                      <w:b/>
                      <w:bCs/>
                      <w:color w:val="000000"/>
                      <w:szCs w:val="24"/>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D21E837" w14:textId="77777777" w:rsidR="00F517B5" w:rsidRPr="009E293B" w:rsidRDefault="00F517B5" w:rsidP="00DA5579">
                  <w:pPr>
                    <w:rPr>
                      <w:rFonts w:cs="Arial"/>
                      <w:b/>
                      <w:bCs/>
                      <w:color w:val="000000"/>
                      <w:szCs w:val="24"/>
                    </w:rPr>
                  </w:pPr>
                </w:p>
              </w:tc>
            </w:tr>
            <w:tr w:rsidR="00F517B5" w14:paraId="2D21E840" w14:textId="77777777" w:rsidTr="009A21CE">
              <w:trPr>
                <w:trHeight w:val="315"/>
              </w:trPr>
              <w:tc>
                <w:tcPr>
                  <w:tcW w:w="6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1E83D" w14:textId="77777777" w:rsidR="00F517B5" w:rsidRPr="009E293B" w:rsidRDefault="00F517B5" w:rsidP="00DA5579">
                  <w:pPr>
                    <w:rPr>
                      <w:rFonts w:cs="Arial"/>
                      <w:color w:val="000000"/>
                      <w:szCs w:val="24"/>
                    </w:rPr>
                  </w:pPr>
                  <w:r w:rsidRPr="009E293B">
                    <w:rPr>
                      <w:rFonts w:cs="Arial"/>
                      <w:color w:val="000000"/>
                      <w:szCs w:val="24"/>
                    </w:rPr>
                    <w:t>Borrowing</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E83E" w14:textId="77777777" w:rsidR="00F517B5" w:rsidRPr="009E293B" w:rsidRDefault="00F517B5" w:rsidP="00DA5579">
                  <w:pPr>
                    <w:jc w:val="center"/>
                    <w:rPr>
                      <w:rFonts w:cs="Arial"/>
                      <w:color w:val="000000"/>
                      <w:szCs w:val="24"/>
                    </w:rPr>
                  </w:pPr>
                  <w:r>
                    <w:rPr>
                      <w:rFonts w:cs="Arial"/>
                      <w:color w:val="000000"/>
                      <w:szCs w:val="24"/>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E83F" w14:textId="77777777" w:rsidR="00F517B5" w:rsidRPr="009E293B" w:rsidRDefault="00F517B5" w:rsidP="00DA5579">
                  <w:pPr>
                    <w:jc w:val="center"/>
                    <w:rPr>
                      <w:rFonts w:cs="Arial"/>
                      <w:color w:val="000000"/>
                      <w:szCs w:val="24"/>
                    </w:rPr>
                  </w:pPr>
                  <w:r>
                    <w:rPr>
                      <w:rFonts w:cs="Arial"/>
                      <w:color w:val="000000"/>
                      <w:szCs w:val="24"/>
                    </w:rPr>
                    <w:t>1,545</w:t>
                  </w:r>
                </w:p>
              </w:tc>
            </w:tr>
            <w:tr w:rsidR="00F517B5" w14:paraId="2D21E844" w14:textId="77777777" w:rsidTr="009A21CE">
              <w:trPr>
                <w:trHeight w:val="315"/>
              </w:trPr>
              <w:tc>
                <w:tcPr>
                  <w:tcW w:w="6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1E841" w14:textId="5BBE812D" w:rsidR="00F517B5" w:rsidRPr="009E293B" w:rsidRDefault="00F517B5" w:rsidP="00DA5579">
                  <w:pPr>
                    <w:rPr>
                      <w:rFonts w:cs="Arial"/>
                      <w:color w:val="000000"/>
                      <w:szCs w:val="24"/>
                    </w:rPr>
                  </w:pPr>
                  <w:r w:rsidRPr="009E293B">
                    <w:rPr>
                      <w:rFonts w:cs="Arial"/>
                      <w:color w:val="000000"/>
                      <w:szCs w:val="24"/>
                    </w:rPr>
                    <w:t>Other long term liabilities (</w:t>
                  </w:r>
                  <w:r w:rsidR="00191893" w:rsidRPr="00191893">
                    <w:rPr>
                      <w:rFonts w:cs="Arial"/>
                      <w:color w:val="000000"/>
                      <w:szCs w:val="24"/>
                    </w:rPr>
                    <w:t xml:space="preserve">private finance initiative </w:t>
                  </w:r>
                  <w:r w:rsidRPr="009E293B">
                    <w:rPr>
                      <w:rFonts w:cs="Arial"/>
                      <w:color w:val="000000"/>
                      <w:szCs w:val="24"/>
                    </w:rPr>
                    <w:t>schemes)</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E842" w14:textId="77777777" w:rsidR="00F517B5" w:rsidRPr="009E293B" w:rsidRDefault="00F517B5" w:rsidP="00DA5579">
                  <w:pPr>
                    <w:jc w:val="center"/>
                    <w:rPr>
                      <w:rFonts w:cs="Arial"/>
                      <w:color w:val="000000"/>
                      <w:szCs w:val="24"/>
                    </w:rPr>
                  </w:pPr>
                  <w:r>
                    <w:rPr>
                      <w:rFonts w:cs="Arial"/>
                      <w:color w:val="000000"/>
                      <w:szCs w:val="24"/>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E843" w14:textId="77777777" w:rsidR="00F517B5" w:rsidRPr="009E293B" w:rsidRDefault="00F517B5" w:rsidP="00DA5579">
                  <w:pPr>
                    <w:jc w:val="center"/>
                    <w:rPr>
                      <w:rFonts w:cs="Arial"/>
                      <w:color w:val="000000"/>
                      <w:szCs w:val="24"/>
                    </w:rPr>
                  </w:pPr>
                  <w:r>
                    <w:rPr>
                      <w:rFonts w:cs="Arial"/>
                      <w:color w:val="000000"/>
                      <w:szCs w:val="24"/>
                    </w:rPr>
                    <w:t>146</w:t>
                  </w:r>
                </w:p>
              </w:tc>
            </w:tr>
            <w:tr w:rsidR="00F517B5" w14:paraId="2D21E848" w14:textId="77777777" w:rsidTr="009A21CE">
              <w:trPr>
                <w:trHeight w:val="330"/>
              </w:trPr>
              <w:tc>
                <w:tcPr>
                  <w:tcW w:w="6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1E845" w14:textId="77777777" w:rsidR="00F517B5" w:rsidRPr="009E293B" w:rsidRDefault="00F517B5" w:rsidP="00DA5579">
                  <w:pPr>
                    <w:rPr>
                      <w:rFonts w:cs="Arial"/>
                      <w:b/>
                      <w:bCs/>
                      <w:color w:val="000000"/>
                      <w:szCs w:val="24"/>
                    </w:rPr>
                  </w:pPr>
                  <w:r w:rsidRPr="009E293B">
                    <w:rPr>
                      <w:rFonts w:cs="Arial"/>
                      <w:b/>
                      <w:bCs/>
                      <w:color w:val="000000"/>
                      <w:szCs w:val="24"/>
                    </w:rPr>
                    <w:t>TOTAL</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E846" w14:textId="77777777" w:rsidR="00F517B5" w:rsidRPr="009E293B" w:rsidRDefault="00F517B5" w:rsidP="00DA5579">
                  <w:pPr>
                    <w:jc w:val="center"/>
                    <w:rPr>
                      <w:rFonts w:cs="Arial"/>
                      <w:b/>
                      <w:bCs/>
                      <w:color w:val="000000"/>
                      <w:szCs w:val="24"/>
                    </w:rPr>
                  </w:pPr>
                  <w:r>
                    <w:rPr>
                      <w:rFonts w:cs="Arial"/>
                      <w:b/>
                      <w:bCs/>
                      <w:color w:val="000000"/>
                      <w:szCs w:val="24"/>
                    </w:rPr>
                    <w:t>1,650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E847" w14:textId="77777777" w:rsidR="00F517B5" w:rsidRPr="009E293B" w:rsidRDefault="00F517B5" w:rsidP="00DA5579">
                  <w:pPr>
                    <w:jc w:val="center"/>
                    <w:rPr>
                      <w:rFonts w:cs="Arial"/>
                      <w:b/>
                      <w:bCs/>
                      <w:color w:val="000000"/>
                      <w:szCs w:val="24"/>
                    </w:rPr>
                  </w:pPr>
                  <w:r>
                    <w:rPr>
                      <w:rFonts w:cs="Arial"/>
                      <w:b/>
                      <w:bCs/>
                      <w:color w:val="000000"/>
                      <w:szCs w:val="24"/>
                    </w:rPr>
                    <w:t>1,691</w:t>
                  </w:r>
                </w:p>
              </w:tc>
            </w:tr>
            <w:tr w:rsidR="00F517B5" w14:paraId="2D21E84C" w14:textId="77777777" w:rsidTr="009A21CE">
              <w:trPr>
                <w:trHeight w:val="330"/>
              </w:trPr>
              <w:tc>
                <w:tcPr>
                  <w:tcW w:w="6689" w:type="dxa"/>
                  <w:tcBorders>
                    <w:top w:val="single" w:sz="4" w:space="0" w:color="auto"/>
                  </w:tcBorders>
                  <w:shd w:val="clear" w:color="auto" w:fill="auto"/>
                  <w:noWrap/>
                  <w:vAlign w:val="center"/>
                </w:tcPr>
                <w:p w14:paraId="2D21E849" w14:textId="77777777" w:rsidR="00F517B5" w:rsidRPr="009E293B" w:rsidRDefault="00F517B5" w:rsidP="00DA5579">
                  <w:pPr>
                    <w:rPr>
                      <w:rFonts w:cs="Arial"/>
                      <w:b/>
                      <w:bCs/>
                      <w:color w:val="000000"/>
                      <w:szCs w:val="24"/>
                    </w:rPr>
                  </w:pPr>
                </w:p>
              </w:tc>
              <w:tc>
                <w:tcPr>
                  <w:tcW w:w="1277" w:type="dxa"/>
                  <w:tcBorders>
                    <w:top w:val="single" w:sz="4" w:space="0" w:color="auto"/>
                  </w:tcBorders>
                  <w:shd w:val="clear" w:color="auto" w:fill="auto"/>
                  <w:noWrap/>
                  <w:vAlign w:val="center"/>
                </w:tcPr>
                <w:p w14:paraId="2D21E84A" w14:textId="77777777" w:rsidR="00F517B5" w:rsidRPr="009E293B" w:rsidRDefault="00F517B5" w:rsidP="00DA5579">
                  <w:pPr>
                    <w:jc w:val="center"/>
                    <w:rPr>
                      <w:rFonts w:cs="Arial"/>
                      <w:b/>
                      <w:bCs/>
                      <w:color w:val="000000"/>
                      <w:szCs w:val="24"/>
                    </w:rPr>
                  </w:pPr>
                </w:p>
              </w:tc>
              <w:tc>
                <w:tcPr>
                  <w:tcW w:w="1418" w:type="dxa"/>
                  <w:tcBorders>
                    <w:top w:val="single" w:sz="4" w:space="0" w:color="auto"/>
                  </w:tcBorders>
                  <w:shd w:val="clear" w:color="auto" w:fill="auto"/>
                  <w:noWrap/>
                  <w:vAlign w:val="center"/>
                </w:tcPr>
                <w:p w14:paraId="2D21E84B" w14:textId="77777777" w:rsidR="00F517B5" w:rsidRPr="009E293B" w:rsidRDefault="00F517B5" w:rsidP="00DA5579">
                  <w:pPr>
                    <w:jc w:val="center"/>
                    <w:rPr>
                      <w:rFonts w:cs="Arial"/>
                      <w:b/>
                      <w:bCs/>
                      <w:color w:val="000000"/>
                      <w:szCs w:val="24"/>
                    </w:rPr>
                  </w:pPr>
                </w:p>
              </w:tc>
            </w:tr>
          </w:tbl>
          <w:p w14:paraId="2D21E84D" w14:textId="77777777" w:rsidR="00F517B5" w:rsidRPr="00E8130F" w:rsidRDefault="00F517B5" w:rsidP="00DA5579">
            <w:pPr>
              <w:jc w:val="both"/>
              <w:rPr>
                <w:rFonts w:ascii="Times New Roman" w:hAnsi="Times New Roman"/>
                <w:sz w:val="20"/>
                <w:highlight w:val="yellow"/>
              </w:rPr>
            </w:pPr>
          </w:p>
        </w:tc>
        <w:tc>
          <w:tcPr>
            <w:tcW w:w="902" w:type="dxa"/>
            <w:tcBorders>
              <w:top w:val="nil"/>
              <w:left w:val="nil"/>
              <w:bottom w:val="nil"/>
              <w:right w:val="nil"/>
            </w:tcBorders>
            <w:shd w:val="clear" w:color="auto" w:fill="auto"/>
            <w:noWrap/>
            <w:vAlign w:val="bottom"/>
            <w:hideMark/>
          </w:tcPr>
          <w:p w14:paraId="2D21E84F" w14:textId="77777777" w:rsidR="00F517B5" w:rsidRPr="00E8130F" w:rsidRDefault="00F517B5" w:rsidP="00DA5579">
            <w:pPr>
              <w:jc w:val="both"/>
              <w:rPr>
                <w:rFonts w:ascii="Times New Roman" w:hAnsi="Times New Roman"/>
                <w:sz w:val="20"/>
                <w:highlight w:val="yellow"/>
              </w:rPr>
            </w:pPr>
          </w:p>
        </w:tc>
      </w:tr>
      <w:tr w:rsidR="00F517B5" w14:paraId="2D21E868" w14:textId="77777777" w:rsidTr="00F517B5">
        <w:trPr>
          <w:trHeight w:val="558"/>
        </w:trPr>
        <w:tc>
          <w:tcPr>
            <w:tcW w:w="9923" w:type="dxa"/>
            <w:tcBorders>
              <w:top w:val="nil"/>
              <w:left w:val="nil"/>
              <w:bottom w:val="nil"/>
              <w:right w:val="nil"/>
            </w:tcBorders>
            <w:shd w:val="clear" w:color="auto" w:fill="auto"/>
            <w:noWrap/>
            <w:vAlign w:val="bottom"/>
            <w:hideMark/>
          </w:tcPr>
          <w:tbl>
            <w:tblPr>
              <w:tblW w:w="9389" w:type="dxa"/>
              <w:tblLook w:val="04A0" w:firstRow="1" w:lastRow="0" w:firstColumn="1" w:lastColumn="0" w:noHBand="0" w:noVBand="1"/>
            </w:tblPr>
            <w:tblGrid>
              <w:gridCol w:w="6554"/>
              <w:gridCol w:w="1417"/>
              <w:gridCol w:w="1418"/>
            </w:tblGrid>
            <w:tr w:rsidR="00F517B5" w14:paraId="2D21E854" w14:textId="77777777" w:rsidTr="000F3BA1">
              <w:trPr>
                <w:trHeight w:val="841"/>
              </w:trPr>
              <w:tc>
                <w:tcPr>
                  <w:tcW w:w="6554" w:type="dxa"/>
                  <w:tcBorders>
                    <w:top w:val="single" w:sz="4" w:space="0" w:color="auto"/>
                    <w:left w:val="single" w:sz="4" w:space="0" w:color="auto"/>
                    <w:bottom w:val="nil"/>
                    <w:right w:val="single" w:sz="4" w:space="0" w:color="auto"/>
                  </w:tcBorders>
                  <w:shd w:val="clear" w:color="auto" w:fill="auto"/>
                  <w:vAlign w:val="center"/>
                  <w:hideMark/>
                </w:tcPr>
                <w:p w14:paraId="2D21E851" w14:textId="77777777" w:rsidR="00F517B5" w:rsidRPr="0070497D" w:rsidRDefault="00F517B5" w:rsidP="00DA5579">
                  <w:pPr>
                    <w:rPr>
                      <w:rFonts w:cs="Arial"/>
                      <w:b/>
                      <w:bCs/>
                      <w:color w:val="000000"/>
                      <w:szCs w:val="24"/>
                    </w:rPr>
                  </w:pPr>
                  <w:r w:rsidRPr="0070497D">
                    <w:rPr>
                      <w:rFonts w:cs="Arial"/>
                      <w:b/>
                      <w:bCs/>
                      <w:color w:val="000000"/>
                      <w:szCs w:val="24"/>
                    </w:rPr>
                    <w:t xml:space="preserve">Capital Financing Requirement to Gross </w:t>
                  </w:r>
                  <w:r>
                    <w:rPr>
                      <w:rFonts w:cs="Arial"/>
                      <w:b/>
                      <w:bCs/>
                      <w:color w:val="000000"/>
                      <w:szCs w:val="24"/>
                    </w:rPr>
                    <w:t>debt</w:t>
                  </w:r>
                </w:p>
              </w:tc>
              <w:tc>
                <w:tcPr>
                  <w:tcW w:w="1417" w:type="dxa"/>
                  <w:tcBorders>
                    <w:top w:val="single" w:sz="4" w:space="0" w:color="auto"/>
                    <w:left w:val="single" w:sz="4" w:space="0" w:color="auto"/>
                    <w:right w:val="single" w:sz="4" w:space="0" w:color="auto"/>
                  </w:tcBorders>
                  <w:shd w:val="clear" w:color="auto" w:fill="auto"/>
                  <w:noWrap/>
                  <w:vAlign w:val="center"/>
                  <w:hideMark/>
                </w:tcPr>
                <w:p w14:paraId="406AA1A3" w14:textId="77777777" w:rsidR="00094A97" w:rsidRDefault="00F517B5" w:rsidP="00DA5579">
                  <w:pPr>
                    <w:jc w:val="center"/>
                    <w:rPr>
                      <w:rFonts w:cs="Arial"/>
                      <w:b/>
                      <w:bCs/>
                      <w:color w:val="000000"/>
                      <w:szCs w:val="24"/>
                    </w:rPr>
                  </w:pPr>
                  <w:r w:rsidRPr="0070497D">
                    <w:rPr>
                      <w:rFonts w:cs="Arial"/>
                      <w:b/>
                      <w:bCs/>
                      <w:color w:val="000000"/>
                      <w:szCs w:val="24"/>
                    </w:rPr>
                    <w:t>201</w:t>
                  </w:r>
                  <w:r>
                    <w:rPr>
                      <w:rFonts w:cs="Arial"/>
                      <w:b/>
                      <w:bCs/>
                      <w:color w:val="000000"/>
                      <w:szCs w:val="24"/>
                    </w:rPr>
                    <w:t>9</w:t>
                  </w:r>
                  <w:r w:rsidRPr="0070497D">
                    <w:rPr>
                      <w:rFonts w:cs="Arial"/>
                      <w:b/>
                      <w:bCs/>
                      <w:color w:val="000000"/>
                      <w:szCs w:val="24"/>
                    </w:rPr>
                    <w:t>/</w:t>
                  </w:r>
                  <w:r>
                    <w:rPr>
                      <w:rFonts w:cs="Arial"/>
                      <w:b/>
                      <w:bCs/>
                      <w:color w:val="000000"/>
                      <w:szCs w:val="24"/>
                    </w:rPr>
                    <w:t>20</w:t>
                  </w:r>
                </w:p>
                <w:p w14:paraId="2D21E852" w14:textId="38B2DA39" w:rsidR="00F517B5" w:rsidRPr="0070497D" w:rsidRDefault="00094A97" w:rsidP="00DA5579">
                  <w:pPr>
                    <w:jc w:val="center"/>
                    <w:rPr>
                      <w:rFonts w:cs="Arial"/>
                      <w:b/>
                      <w:bCs/>
                      <w:color w:val="000000"/>
                      <w:szCs w:val="24"/>
                    </w:rPr>
                  </w:pPr>
                  <w:r w:rsidRPr="00094A97">
                    <w:rPr>
                      <w:rFonts w:cs="Arial"/>
                      <w:b/>
                      <w:bCs/>
                      <w:color w:val="000000"/>
                      <w:szCs w:val="24"/>
                    </w:rPr>
                    <w:t>£m</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4132AC62" w14:textId="77777777" w:rsidR="00F517B5" w:rsidRDefault="00F517B5" w:rsidP="00DA5579">
                  <w:pPr>
                    <w:jc w:val="center"/>
                    <w:rPr>
                      <w:rFonts w:cs="Arial"/>
                      <w:b/>
                      <w:bCs/>
                      <w:color w:val="000000"/>
                      <w:szCs w:val="24"/>
                    </w:rPr>
                  </w:pPr>
                  <w:r w:rsidRPr="0070497D">
                    <w:rPr>
                      <w:rFonts w:cs="Arial"/>
                      <w:b/>
                      <w:bCs/>
                      <w:color w:val="000000"/>
                      <w:szCs w:val="24"/>
                    </w:rPr>
                    <w:t>Actual</w:t>
                  </w:r>
                </w:p>
                <w:p w14:paraId="2D21E853" w14:textId="486DC65D" w:rsidR="00094A97" w:rsidRPr="0070497D" w:rsidRDefault="00094A97" w:rsidP="00DA5579">
                  <w:pPr>
                    <w:jc w:val="center"/>
                    <w:rPr>
                      <w:rFonts w:cs="Arial"/>
                      <w:b/>
                      <w:bCs/>
                      <w:color w:val="000000"/>
                      <w:szCs w:val="24"/>
                    </w:rPr>
                  </w:pPr>
                  <w:r w:rsidRPr="00094A97">
                    <w:rPr>
                      <w:rFonts w:cs="Arial"/>
                      <w:b/>
                      <w:bCs/>
                      <w:color w:val="000000"/>
                      <w:szCs w:val="24"/>
                    </w:rPr>
                    <w:t>£m</w:t>
                  </w:r>
                </w:p>
              </w:tc>
            </w:tr>
            <w:tr w:rsidR="00F517B5" w14:paraId="2D21E85C" w14:textId="77777777" w:rsidTr="000F3BA1">
              <w:trPr>
                <w:trHeight w:val="300"/>
              </w:trPr>
              <w:tc>
                <w:tcPr>
                  <w:tcW w:w="6554" w:type="dxa"/>
                  <w:tcBorders>
                    <w:top w:val="nil"/>
                    <w:left w:val="single" w:sz="4" w:space="0" w:color="auto"/>
                    <w:bottom w:val="single" w:sz="4" w:space="0" w:color="auto"/>
                    <w:right w:val="single" w:sz="4" w:space="0" w:color="auto"/>
                  </w:tcBorders>
                  <w:shd w:val="clear" w:color="auto" w:fill="auto"/>
                  <w:noWrap/>
                  <w:vAlign w:val="center"/>
                  <w:hideMark/>
                </w:tcPr>
                <w:p w14:paraId="2D21E859" w14:textId="77777777" w:rsidR="00F517B5" w:rsidRPr="0070497D" w:rsidRDefault="00F517B5" w:rsidP="00DA5579">
                  <w:pPr>
                    <w:rPr>
                      <w:rFonts w:cs="Arial"/>
                      <w:color w:val="000000"/>
                      <w:szCs w:val="24"/>
                    </w:rPr>
                  </w:pPr>
                  <w:r w:rsidRPr="0070497D">
                    <w:rPr>
                      <w:rFonts w:cs="Arial"/>
                      <w:color w:val="000000"/>
                      <w:szCs w:val="24"/>
                    </w:rPr>
                    <w:t>Capital Financing Requirement</w:t>
                  </w:r>
                  <w:r>
                    <w:rPr>
                      <w:rFonts w:cs="Arial"/>
                      <w:color w:val="000000"/>
                      <w:szCs w:val="24"/>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D21E85A" w14:textId="77777777" w:rsidR="00F517B5" w:rsidRPr="0070497D" w:rsidRDefault="00F517B5" w:rsidP="00DA5579">
                  <w:pPr>
                    <w:jc w:val="center"/>
                    <w:rPr>
                      <w:rFonts w:cs="Arial"/>
                      <w:color w:val="000000"/>
                      <w:szCs w:val="24"/>
                    </w:rPr>
                  </w:pPr>
                  <w:r>
                    <w:rPr>
                      <w:rFonts w:cs="Arial"/>
                      <w:color w:val="000000"/>
                      <w:szCs w:val="24"/>
                    </w:rPr>
                    <w:t>1,105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D21E85B" w14:textId="77777777" w:rsidR="00F517B5" w:rsidRPr="0070497D" w:rsidRDefault="00F517B5" w:rsidP="00DA5579">
                  <w:pPr>
                    <w:jc w:val="center"/>
                    <w:rPr>
                      <w:rFonts w:cs="Arial"/>
                      <w:color w:val="000000"/>
                      <w:szCs w:val="24"/>
                    </w:rPr>
                  </w:pPr>
                  <w:r>
                    <w:rPr>
                      <w:rFonts w:cs="Arial"/>
                      <w:color w:val="000000"/>
                      <w:szCs w:val="24"/>
                    </w:rPr>
                    <w:t>1,092</w:t>
                  </w:r>
                </w:p>
              </w:tc>
            </w:tr>
            <w:tr w:rsidR="00F517B5" w14:paraId="2D21E860" w14:textId="77777777" w:rsidTr="00DA5579">
              <w:trPr>
                <w:trHeight w:val="300"/>
              </w:trPr>
              <w:tc>
                <w:tcPr>
                  <w:tcW w:w="6554" w:type="dxa"/>
                  <w:tcBorders>
                    <w:top w:val="nil"/>
                    <w:left w:val="single" w:sz="4" w:space="0" w:color="auto"/>
                    <w:bottom w:val="single" w:sz="4" w:space="0" w:color="auto"/>
                    <w:right w:val="single" w:sz="4" w:space="0" w:color="auto"/>
                  </w:tcBorders>
                  <w:shd w:val="clear" w:color="auto" w:fill="auto"/>
                  <w:noWrap/>
                  <w:vAlign w:val="center"/>
                  <w:hideMark/>
                </w:tcPr>
                <w:p w14:paraId="2D21E85D" w14:textId="77777777" w:rsidR="00F517B5" w:rsidRPr="0070497D" w:rsidRDefault="00F517B5" w:rsidP="00DA5579">
                  <w:pPr>
                    <w:rPr>
                      <w:rFonts w:cs="Arial"/>
                      <w:color w:val="000000"/>
                      <w:szCs w:val="24"/>
                    </w:rPr>
                  </w:pPr>
                  <w:r w:rsidRPr="0070497D">
                    <w:rPr>
                      <w:rFonts w:cs="Arial"/>
                      <w:color w:val="000000"/>
                      <w:szCs w:val="24"/>
                    </w:rPr>
                    <w:t xml:space="preserve">Estimated gross </w:t>
                  </w:r>
                  <w:r>
                    <w:rPr>
                      <w:rFonts w:cs="Arial"/>
                      <w:color w:val="000000"/>
                      <w:szCs w:val="24"/>
                    </w:rPr>
                    <w:t>debt</w:t>
                  </w:r>
                </w:p>
              </w:tc>
              <w:tc>
                <w:tcPr>
                  <w:tcW w:w="1417" w:type="dxa"/>
                  <w:tcBorders>
                    <w:top w:val="nil"/>
                    <w:left w:val="nil"/>
                    <w:bottom w:val="single" w:sz="4" w:space="0" w:color="auto"/>
                    <w:right w:val="single" w:sz="4" w:space="0" w:color="auto"/>
                  </w:tcBorders>
                  <w:shd w:val="clear" w:color="auto" w:fill="auto"/>
                  <w:noWrap/>
                  <w:vAlign w:val="center"/>
                </w:tcPr>
                <w:p w14:paraId="2D21E85E" w14:textId="77777777" w:rsidR="00F517B5" w:rsidRPr="0070497D" w:rsidRDefault="00F517B5" w:rsidP="00DA5579">
                  <w:pPr>
                    <w:jc w:val="center"/>
                    <w:rPr>
                      <w:rFonts w:cs="Arial"/>
                      <w:color w:val="000000"/>
                      <w:szCs w:val="24"/>
                    </w:rPr>
                  </w:pPr>
                  <w:r>
                    <w:rPr>
                      <w:rFonts w:cs="Arial"/>
                      <w:color w:val="000000"/>
                      <w:szCs w:val="24"/>
                    </w:rPr>
                    <w:t>1,194</w:t>
                  </w:r>
                </w:p>
              </w:tc>
              <w:tc>
                <w:tcPr>
                  <w:tcW w:w="1418" w:type="dxa"/>
                  <w:tcBorders>
                    <w:top w:val="nil"/>
                    <w:left w:val="nil"/>
                    <w:bottom w:val="single" w:sz="4" w:space="0" w:color="auto"/>
                    <w:right w:val="single" w:sz="4" w:space="0" w:color="auto"/>
                  </w:tcBorders>
                  <w:shd w:val="clear" w:color="auto" w:fill="auto"/>
                  <w:noWrap/>
                  <w:vAlign w:val="center"/>
                </w:tcPr>
                <w:p w14:paraId="2D21E85F" w14:textId="77777777" w:rsidR="00F517B5" w:rsidRPr="0070497D" w:rsidRDefault="00F517B5" w:rsidP="00DA5579">
                  <w:pPr>
                    <w:jc w:val="center"/>
                    <w:rPr>
                      <w:rFonts w:cs="Arial"/>
                      <w:color w:val="000000"/>
                      <w:szCs w:val="24"/>
                    </w:rPr>
                  </w:pPr>
                  <w:r w:rsidRPr="00F476F5">
                    <w:rPr>
                      <w:rFonts w:cs="Arial"/>
                      <w:color w:val="000000"/>
                      <w:szCs w:val="24"/>
                    </w:rPr>
                    <w:t>1,691</w:t>
                  </w:r>
                </w:p>
              </w:tc>
            </w:tr>
            <w:tr w:rsidR="00F517B5" w14:paraId="2D21E864" w14:textId="77777777" w:rsidTr="00DA5579">
              <w:trPr>
                <w:trHeight w:val="300"/>
              </w:trPr>
              <w:tc>
                <w:tcPr>
                  <w:tcW w:w="6554" w:type="dxa"/>
                  <w:tcBorders>
                    <w:top w:val="nil"/>
                    <w:left w:val="single" w:sz="4" w:space="0" w:color="auto"/>
                    <w:bottom w:val="single" w:sz="4" w:space="0" w:color="auto"/>
                    <w:right w:val="single" w:sz="4" w:space="0" w:color="auto"/>
                  </w:tcBorders>
                  <w:shd w:val="clear" w:color="auto" w:fill="auto"/>
                  <w:noWrap/>
                  <w:vAlign w:val="center"/>
                  <w:hideMark/>
                </w:tcPr>
                <w:p w14:paraId="2D21E861" w14:textId="77777777" w:rsidR="00F517B5" w:rsidRPr="0070497D" w:rsidRDefault="00F517B5" w:rsidP="00DA5579">
                  <w:pPr>
                    <w:rPr>
                      <w:rFonts w:cs="Arial"/>
                      <w:color w:val="000000"/>
                      <w:szCs w:val="24"/>
                    </w:rPr>
                  </w:pPr>
                  <w:r w:rsidRPr="0070497D">
                    <w:rPr>
                      <w:rFonts w:cs="Arial"/>
                      <w:color w:val="000000"/>
                      <w:szCs w:val="24"/>
                    </w:rPr>
                    <w:t>Debt to Capital Financing Requirements</w:t>
                  </w:r>
                </w:p>
              </w:tc>
              <w:tc>
                <w:tcPr>
                  <w:tcW w:w="1417" w:type="dxa"/>
                  <w:tcBorders>
                    <w:top w:val="nil"/>
                    <w:left w:val="nil"/>
                    <w:bottom w:val="single" w:sz="4" w:space="0" w:color="auto"/>
                    <w:right w:val="single" w:sz="4" w:space="0" w:color="auto"/>
                  </w:tcBorders>
                  <w:shd w:val="clear" w:color="auto" w:fill="auto"/>
                  <w:noWrap/>
                  <w:vAlign w:val="center"/>
                </w:tcPr>
                <w:p w14:paraId="2D21E862" w14:textId="77777777" w:rsidR="00F517B5" w:rsidRPr="0070497D" w:rsidRDefault="00F517B5" w:rsidP="00DA5579">
                  <w:pPr>
                    <w:jc w:val="center"/>
                    <w:rPr>
                      <w:rFonts w:cs="Arial"/>
                      <w:color w:val="000000"/>
                      <w:szCs w:val="24"/>
                    </w:rPr>
                  </w:pPr>
                  <w:r>
                    <w:rPr>
                      <w:rFonts w:cs="Arial"/>
                      <w:color w:val="000000"/>
                      <w:szCs w:val="24"/>
                    </w:rPr>
                    <w:t>108%</w:t>
                  </w:r>
                </w:p>
              </w:tc>
              <w:tc>
                <w:tcPr>
                  <w:tcW w:w="1418" w:type="dxa"/>
                  <w:tcBorders>
                    <w:top w:val="nil"/>
                    <w:left w:val="nil"/>
                    <w:bottom w:val="single" w:sz="4" w:space="0" w:color="auto"/>
                    <w:right w:val="single" w:sz="4" w:space="0" w:color="auto"/>
                  </w:tcBorders>
                  <w:shd w:val="clear" w:color="auto" w:fill="auto"/>
                  <w:noWrap/>
                  <w:vAlign w:val="center"/>
                </w:tcPr>
                <w:p w14:paraId="2D21E863" w14:textId="77777777" w:rsidR="00F517B5" w:rsidRPr="0070497D" w:rsidRDefault="00F517B5" w:rsidP="00DA5579">
                  <w:pPr>
                    <w:jc w:val="center"/>
                    <w:rPr>
                      <w:rFonts w:cs="Arial"/>
                      <w:color w:val="000000"/>
                      <w:szCs w:val="24"/>
                    </w:rPr>
                  </w:pPr>
                  <w:r>
                    <w:rPr>
                      <w:rFonts w:cs="Arial"/>
                      <w:color w:val="000000"/>
                      <w:szCs w:val="24"/>
                    </w:rPr>
                    <w:t>155%</w:t>
                  </w:r>
                </w:p>
              </w:tc>
            </w:tr>
          </w:tbl>
          <w:p w14:paraId="2D21E865" w14:textId="77777777" w:rsidR="00F517B5" w:rsidRPr="0070497D" w:rsidRDefault="00F517B5" w:rsidP="00DA5579">
            <w:pPr>
              <w:jc w:val="both"/>
              <w:rPr>
                <w:rFonts w:cs="Arial"/>
                <w:b/>
                <w:bCs/>
                <w:color w:val="000000"/>
                <w:szCs w:val="24"/>
              </w:rPr>
            </w:pPr>
          </w:p>
        </w:tc>
        <w:tc>
          <w:tcPr>
            <w:tcW w:w="902" w:type="dxa"/>
            <w:tcBorders>
              <w:top w:val="nil"/>
              <w:left w:val="nil"/>
              <w:bottom w:val="nil"/>
              <w:right w:val="nil"/>
            </w:tcBorders>
            <w:shd w:val="clear" w:color="auto" w:fill="auto"/>
            <w:noWrap/>
            <w:vAlign w:val="bottom"/>
            <w:hideMark/>
          </w:tcPr>
          <w:p w14:paraId="2D21E867" w14:textId="77777777" w:rsidR="00F517B5" w:rsidRPr="00E8130F" w:rsidRDefault="00F517B5" w:rsidP="00DA5579">
            <w:pPr>
              <w:jc w:val="both"/>
              <w:rPr>
                <w:rFonts w:ascii="Times New Roman" w:hAnsi="Times New Roman"/>
                <w:sz w:val="20"/>
                <w:highlight w:val="yellow"/>
              </w:rPr>
            </w:pPr>
          </w:p>
        </w:tc>
      </w:tr>
      <w:tr w:rsidR="00F517B5" w14:paraId="2D21E86E" w14:textId="77777777" w:rsidTr="00F517B5">
        <w:trPr>
          <w:trHeight w:val="297"/>
        </w:trPr>
        <w:tc>
          <w:tcPr>
            <w:tcW w:w="9923" w:type="dxa"/>
            <w:tcBorders>
              <w:top w:val="nil"/>
              <w:left w:val="nil"/>
              <w:bottom w:val="nil"/>
              <w:right w:val="nil"/>
            </w:tcBorders>
            <w:shd w:val="clear" w:color="auto" w:fill="auto"/>
            <w:noWrap/>
            <w:vAlign w:val="bottom"/>
            <w:hideMark/>
          </w:tcPr>
          <w:p w14:paraId="2D21E869" w14:textId="77777777" w:rsidR="00F517B5" w:rsidRDefault="00F517B5" w:rsidP="00DA5579">
            <w:pPr>
              <w:ind w:right="601"/>
              <w:jc w:val="both"/>
              <w:rPr>
                <w:rFonts w:cs="Arial"/>
                <w:color w:val="000000"/>
                <w:szCs w:val="24"/>
              </w:rPr>
            </w:pPr>
          </w:p>
          <w:p w14:paraId="2D21E86A" w14:textId="77777777" w:rsidR="00F517B5" w:rsidRDefault="00F517B5" w:rsidP="00DA5579">
            <w:pPr>
              <w:ind w:right="601"/>
              <w:jc w:val="both"/>
              <w:rPr>
                <w:rFonts w:cs="Arial"/>
                <w:color w:val="000000"/>
                <w:szCs w:val="24"/>
              </w:rPr>
            </w:pPr>
            <w:r w:rsidRPr="0070497D">
              <w:rPr>
                <w:rFonts w:cs="Arial"/>
                <w:color w:val="000000"/>
                <w:szCs w:val="24"/>
              </w:rPr>
              <w:t>The Capital Financing requirement is the underlying need to borrow for capital purposes. This is the cumulative effect of past borrowing decisions and future plans. This is not the same as the actual borrowing on any one day, as day to day borrowing requirements incorporate the effect of cash flow movements relating to both capital and revenue expenditure and income.</w:t>
            </w:r>
          </w:p>
          <w:p w14:paraId="2D21E86B" w14:textId="77777777" w:rsidR="00F517B5" w:rsidRPr="0070497D" w:rsidRDefault="00F517B5" w:rsidP="00DA5579">
            <w:pPr>
              <w:jc w:val="both"/>
              <w:rPr>
                <w:rFonts w:cs="Arial"/>
                <w:color w:val="000000"/>
                <w:szCs w:val="24"/>
              </w:rPr>
            </w:pPr>
          </w:p>
        </w:tc>
        <w:tc>
          <w:tcPr>
            <w:tcW w:w="902" w:type="dxa"/>
            <w:tcBorders>
              <w:top w:val="nil"/>
              <w:left w:val="nil"/>
              <w:bottom w:val="nil"/>
              <w:right w:val="nil"/>
            </w:tcBorders>
            <w:shd w:val="clear" w:color="auto" w:fill="auto"/>
            <w:noWrap/>
            <w:vAlign w:val="bottom"/>
            <w:hideMark/>
          </w:tcPr>
          <w:p w14:paraId="2D21E86D" w14:textId="77777777" w:rsidR="00F517B5" w:rsidRPr="00E8130F" w:rsidRDefault="00F517B5" w:rsidP="00DA5579">
            <w:pPr>
              <w:jc w:val="both"/>
              <w:rPr>
                <w:rFonts w:ascii="Times New Roman" w:hAnsi="Times New Roman"/>
                <w:sz w:val="20"/>
                <w:highlight w:val="yellow"/>
              </w:rPr>
            </w:pPr>
          </w:p>
        </w:tc>
      </w:tr>
    </w:tbl>
    <w:p w14:paraId="2D21E874" w14:textId="77777777" w:rsidR="00DA5579" w:rsidRPr="00A93EF9" w:rsidRDefault="0058317E" w:rsidP="00DA5579">
      <w:pPr>
        <w:spacing w:after="120"/>
        <w:jc w:val="both"/>
        <w:rPr>
          <w:b/>
          <w:szCs w:val="24"/>
          <w:u w:val="single"/>
        </w:rPr>
      </w:pPr>
      <w:r w:rsidRPr="00A93EF9">
        <w:rPr>
          <w:b/>
          <w:szCs w:val="24"/>
          <w:u w:val="single"/>
        </w:rPr>
        <w:t>Treasury Management Indicators</w:t>
      </w:r>
    </w:p>
    <w:p w14:paraId="2D21E875" w14:textId="77777777" w:rsidR="00DA5579" w:rsidRPr="00E8130F" w:rsidRDefault="003A3CFD" w:rsidP="00DA5579">
      <w:pPr>
        <w:jc w:val="both"/>
        <w:rPr>
          <w:b/>
          <w:szCs w:val="24"/>
          <w:highlight w:val="yellow"/>
          <w:u w:val="single"/>
        </w:rPr>
      </w:pPr>
    </w:p>
    <w:tbl>
      <w:tblPr>
        <w:tblW w:w="9639" w:type="dxa"/>
        <w:tblInd w:w="-10" w:type="dxa"/>
        <w:tblLayout w:type="fixed"/>
        <w:tblLook w:val="04A0" w:firstRow="1" w:lastRow="0" w:firstColumn="1" w:lastColumn="0" w:noHBand="0" w:noVBand="1"/>
      </w:tblPr>
      <w:tblGrid>
        <w:gridCol w:w="6946"/>
        <w:gridCol w:w="1559"/>
        <w:gridCol w:w="1134"/>
      </w:tblGrid>
      <w:tr w:rsidR="006619F2" w14:paraId="2D21E879" w14:textId="77777777" w:rsidTr="00DA5579">
        <w:trPr>
          <w:trHeight w:val="315"/>
        </w:trPr>
        <w:tc>
          <w:tcPr>
            <w:tcW w:w="6946" w:type="dxa"/>
            <w:tcBorders>
              <w:top w:val="single" w:sz="8" w:space="0" w:color="auto"/>
              <w:left w:val="single" w:sz="8" w:space="0" w:color="auto"/>
              <w:bottom w:val="nil"/>
              <w:right w:val="single" w:sz="8" w:space="0" w:color="auto"/>
            </w:tcBorders>
            <w:shd w:val="clear" w:color="auto" w:fill="auto"/>
            <w:noWrap/>
            <w:vAlign w:val="center"/>
            <w:hideMark/>
          </w:tcPr>
          <w:p w14:paraId="2D21E876" w14:textId="77777777" w:rsidR="00DA5579" w:rsidRPr="00AC5212" w:rsidRDefault="0058317E" w:rsidP="00DA5579">
            <w:pPr>
              <w:jc w:val="both"/>
              <w:rPr>
                <w:rFonts w:cs="Arial"/>
                <w:b/>
                <w:bCs/>
                <w:color w:val="000000"/>
                <w:szCs w:val="24"/>
              </w:rPr>
            </w:pPr>
            <w:r w:rsidRPr="00AC5212">
              <w:rPr>
                <w:rFonts w:cs="Arial"/>
                <w:b/>
                <w:bCs/>
                <w:color w:val="000000"/>
                <w:szCs w:val="24"/>
              </w:rPr>
              <w:t xml:space="preserve">Interest </w:t>
            </w:r>
            <w:r>
              <w:rPr>
                <w:rFonts w:cs="Arial"/>
                <w:b/>
                <w:bCs/>
                <w:color w:val="000000"/>
                <w:szCs w:val="24"/>
              </w:rPr>
              <w:t>r</w:t>
            </w:r>
            <w:r w:rsidRPr="00AC5212">
              <w:rPr>
                <w:rFonts w:cs="Arial"/>
                <w:b/>
                <w:bCs/>
                <w:color w:val="000000"/>
                <w:szCs w:val="24"/>
              </w:rPr>
              <w:t>ate exposure</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48929EA" w14:textId="77777777" w:rsidR="00DA5579" w:rsidRDefault="0058317E" w:rsidP="00DA5579">
            <w:pPr>
              <w:jc w:val="center"/>
              <w:rPr>
                <w:rFonts w:cs="Arial"/>
                <w:b/>
                <w:bCs/>
                <w:color w:val="000000"/>
                <w:szCs w:val="24"/>
              </w:rPr>
            </w:pPr>
            <w:r w:rsidRPr="00AC5212">
              <w:rPr>
                <w:rFonts w:cs="Arial"/>
                <w:b/>
                <w:bCs/>
                <w:color w:val="000000"/>
                <w:szCs w:val="24"/>
              </w:rPr>
              <w:t>Upper Limit</w:t>
            </w:r>
          </w:p>
          <w:p w14:paraId="2D21E877" w14:textId="203B39C2" w:rsidR="00F517B5" w:rsidRPr="00AC5212" w:rsidRDefault="00F517B5" w:rsidP="00DA5579">
            <w:pPr>
              <w:jc w:val="center"/>
              <w:rPr>
                <w:rFonts w:cs="Arial"/>
                <w:b/>
                <w:bCs/>
                <w:color w:val="000000"/>
                <w:szCs w:val="24"/>
              </w:rPr>
            </w:pPr>
            <w:r w:rsidRPr="00F517B5">
              <w:rPr>
                <w:rFonts w:cs="Arial"/>
                <w:b/>
                <w:bCs/>
                <w:color w:val="000000"/>
                <w:szCs w:val="24"/>
              </w:rPr>
              <w:t>£m</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1F23B75" w14:textId="77777777" w:rsidR="00DA5579" w:rsidRDefault="0058317E" w:rsidP="00DA5579">
            <w:pPr>
              <w:jc w:val="center"/>
              <w:rPr>
                <w:rFonts w:cs="Arial"/>
                <w:b/>
                <w:bCs/>
                <w:color w:val="000000"/>
                <w:szCs w:val="24"/>
              </w:rPr>
            </w:pPr>
            <w:r w:rsidRPr="00AC5212">
              <w:rPr>
                <w:rFonts w:cs="Arial"/>
                <w:b/>
                <w:bCs/>
                <w:color w:val="000000"/>
                <w:szCs w:val="24"/>
              </w:rPr>
              <w:t>Actual</w:t>
            </w:r>
          </w:p>
          <w:p w14:paraId="2D21E878" w14:textId="5EB54303" w:rsidR="00F517B5" w:rsidRPr="00AC5212" w:rsidRDefault="00F517B5" w:rsidP="00DA5579">
            <w:pPr>
              <w:jc w:val="center"/>
              <w:rPr>
                <w:rFonts w:cs="Arial"/>
                <w:b/>
                <w:bCs/>
                <w:color w:val="000000"/>
                <w:szCs w:val="24"/>
              </w:rPr>
            </w:pPr>
            <w:r w:rsidRPr="00F517B5">
              <w:rPr>
                <w:rFonts w:cs="Arial"/>
                <w:b/>
                <w:bCs/>
                <w:color w:val="000000"/>
                <w:szCs w:val="24"/>
              </w:rPr>
              <w:t>£m</w:t>
            </w:r>
          </w:p>
        </w:tc>
      </w:tr>
      <w:tr w:rsidR="006619F2" w14:paraId="2D21E87D" w14:textId="77777777" w:rsidTr="00DA5579">
        <w:trPr>
          <w:trHeight w:val="1215"/>
        </w:trPr>
        <w:tc>
          <w:tcPr>
            <w:tcW w:w="6946" w:type="dxa"/>
            <w:tcBorders>
              <w:top w:val="nil"/>
              <w:left w:val="single" w:sz="8" w:space="0" w:color="auto"/>
              <w:bottom w:val="single" w:sz="8" w:space="0" w:color="auto"/>
              <w:right w:val="single" w:sz="8" w:space="0" w:color="auto"/>
            </w:tcBorders>
            <w:shd w:val="clear" w:color="auto" w:fill="auto"/>
            <w:vAlign w:val="center"/>
            <w:hideMark/>
          </w:tcPr>
          <w:p w14:paraId="2D21E87A" w14:textId="77777777" w:rsidR="00DA5579" w:rsidRPr="00AC5212" w:rsidRDefault="0058317E" w:rsidP="00DA5579">
            <w:pPr>
              <w:jc w:val="both"/>
              <w:rPr>
                <w:rFonts w:cs="Arial"/>
                <w:color w:val="000000"/>
                <w:szCs w:val="24"/>
              </w:rPr>
            </w:pPr>
            <w:r w:rsidRPr="00AC5212">
              <w:rPr>
                <w:rFonts w:cs="Arial"/>
                <w:color w:val="000000"/>
                <w:szCs w:val="24"/>
              </w:rPr>
              <w:t xml:space="preserve">The limit measures the </w:t>
            </w:r>
            <w:r>
              <w:rPr>
                <w:rFonts w:cs="Arial"/>
                <w:color w:val="000000"/>
                <w:szCs w:val="24"/>
              </w:rPr>
              <w:t>c</w:t>
            </w:r>
            <w:r w:rsidRPr="00AC5212">
              <w:rPr>
                <w:rFonts w:cs="Arial"/>
                <w:color w:val="000000"/>
                <w:szCs w:val="24"/>
              </w:rPr>
              <w:t>ouncil's exposure to the risk of interest rate movements. The one year impact indicator calculates the theoretical impact on the revenue account of an immediate 1% rise in all interest rates over the course of one financial year.</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2D21E87B" w14:textId="77777777" w:rsidR="00DA5579" w:rsidRPr="00AC5212" w:rsidRDefault="003A3CFD" w:rsidP="00DA5579">
            <w:pPr>
              <w:rPr>
                <w:rFonts w:cs="Arial"/>
                <w:b/>
                <w:bCs/>
                <w:color w:val="000000"/>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D21E87C" w14:textId="77777777" w:rsidR="00DA5579" w:rsidRPr="00AC5212" w:rsidRDefault="003A3CFD" w:rsidP="00DA5579">
            <w:pPr>
              <w:rPr>
                <w:rFonts w:cs="Arial"/>
                <w:b/>
                <w:bCs/>
                <w:color w:val="000000"/>
                <w:szCs w:val="24"/>
              </w:rPr>
            </w:pPr>
          </w:p>
        </w:tc>
      </w:tr>
      <w:tr w:rsidR="006619F2" w14:paraId="2D21E885" w14:textId="77777777" w:rsidTr="00DA5579">
        <w:trPr>
          <w:trHeight w:val="315"/>
        </w:trPr>
        <w:tc>
          <w:tcPr>
            <w:tcW w:w="6946" w:type="dxa"/>
            <w:tcBorders>
              <w:top w:val="nil"/>
              <w:left w:val="single" w:sz="8" w:space="0" w:color="auto"/>
              <w:bottom w:val="single" w:sz="8" w:space="0" w:color="auto"/>
              <w:right w:val="single" w:sz="8" w:space="0" w:color="000000"/>
            </w:tcBorders>
            <w:shd w:val="clear" w:color="auto" w:fill="auto"/>
            <w:noWrap/>
            <w:vAlign w:val="center"/>
            <w:hideMark/>
          </w:tcPr>
          <w:p w14:paraId="2D21E882" w14:textId="1292672C" w:rsidR="00DA5579" w:rsidRPr="00AC5212" w:rsidRDefault="00F517B5" w:rsidP="00DA5579">
            <w:pPr>
              <w:jc w:val="both"/>
              <w:rPr>
                <w:rFonts w:cs="Arial"/>
                <w:color w:val="000000"/>
                <w:szCs w:val="24"/>
              </w:rPr>
            </w:pPr>
            <w:r>
              <w:rPr>
                <w:rFonts w:cs="Arial"/>
                <w:color w:val="000000"/>
                <w:szCs w:val="24"/>
              </w:rPr>
              <w:t xml:space="preserve"> </w:t>
            </w:r>
            <w:r w:rsidR="0058317E" w:rsidRPr="00AC5212">
              <w:rPr>
                <w:rFonts w:cs="Arial"/>
                <w:color w:val="000000"/>
                <w:szCs w:val="24"/>
              </w:rPr>
              <w:t>1 year impact of a 1% rise</w:t>
            </w:r>
          </w:p>
        </w:tc>
        <w:tc>
          <w:tcPr>
            <w:tcW w:w="1559" w:type="dxa"/>
            <w:tcBorders>
              <w:top w:val="nil"/>
              <w:left w:val="nil"/>
              <w:bottom w:val="single" w:sz="8" w:space="0" w:color="auto"/>
              <w:right w:val="single" w:sz="8" w:space="0" w:color="auto"/>
            </w:tcBorders>
            <w:shd w:val="clear" w:color="auto" w:fill="auto"/>
            <w:noWrap/>
            <w:vAlign w:val="center"/>
          </w:tcPr>
          <w:p w14:paraId="2D21E883" w14:textId="77777777" w:rsidR="00DA5579" w:rsidRPr="00AC5212" w:rsidRDefault="0058317E" w:rsidP="00DA5579">
            <w:pPr>
              <w:jc w:val="center"/>
              <w:rPr>
                <w:rFonts w:cs="Arial"/>
                <w:color w:val="000000"/>
                <w:szCs w:val="24"/>
              </w:rPr>
            </w:pPr>
            <w:r>
              <w:rPr>
                <w:rFonts w:cs="Arial"/>
                <w:color w:val="000000"/>
                <w:szCs w:val="24"/>
              </w:rPr>
              <w:t>30.0</w:t>
            </w:r>
          </w:p>
        </w:tc>
        <w:tc>
          <w:tcPr>
            <w:tcW w:w="1134" w:type="dxa"/>
            <w:tcBorders>
              <w:top w:val="nil"/>
              <w:left w:val="nil"/>
              <w:bottom w:val="single" w:sz="8" w:space="0" w:color="auto"/>
              <w:right w:val="single" w:sz="8" w:space="0" w:color="auto"/>
            </w:tcBorders>
            <w:shd w:val="clear" w:color="auto" w:fill="auto"/>
            <w:noWrap/>
            <w:vAlign w:val="center"/>
          </w:tcPr>
          <w:p w14:paraId="2D21E884" w14:textId="77777777" w:rsidR="00DA5579" w:rsidRPr="00AC5212" w:rsidRDefault="0058317E" w:rsidP="00DA5579">
            <w:pPr>
              <w:jc w:val="center"/>
              <w:rPr>
                <w:rFonts w:cs="Arial"/>
                <w:color w:val="000000"/>
                <w:szCs w:val="24"/>
              </w:rPr>
            </w:pPr>
            <w:r>
              <w:rPr>
                <w:rFonts w:cs="Arial"/>
                <w:color w:val="000000"/>
                <w:szCs w:val="24"/>
              </w:rPr>
              <w:t>(30.7)</w:t>
            </w:r>
          </w:p>
        </w:tc>
      </w:tr>
      <w:tr w:rsidR="006619F2" w14:paraId="2D21E889" w14:textId="77777777" w:rsidTr="00DA5579">
        <w:trPr>
          <w:trHeight w:val="315"/>
        </w:trPr>
        <w:tc>
          <w:tcPr>
            <w:tcW w:w="6946" w:type="dxa"/>
            <w:tcBorders>
              <w:top w:val="nil"/>
              <w:left w:val="nil"/>
              <w:bottom w:val="nil"/>
              <w:right w:val="nil"/>
            </w:tcBorders>
            <w:shd w:val="clear" w:color="auto" w:fill="auto"/>
            <w:noWrap/>
            <w:vAlign w:val="bottom"/>
            <w:hideMark/>
          </w:tcPr>
          <w:p w14:paraId="2D21E886" w14:textId="77777777" w:rsidR="00DA5579" w:rsidRPr="00AC5212" w:rsidRDefault="003A3CFD" w:rsidP="00DA5579">
            <w:pPr>
              <w:jc w:val="center"/>
              <w:rPr>
                <w:rFonts w:cs="Arial"/>
                <w:color w:val="000000"/>
                <w:szCs w:val="24"/>
              </w:rPr>
            </w:pPr>
          </w:p>
        </w:tc>
        <w:tc>
          <w:tcPr>
            <w:tcW w:w="1559" w:type="dxa"/>
            <w:tcBorders>
              <w:top w:val="nil"/>
              <w:left w:val="nil"/>
              <w:bottom w:val="nil"/>
              <w:right w:val="nil"/>
            </w:tcBorders>
            <w:shd w:val="clear" w:color="auto" w:fill="auto"/>
            <w:noWrap/>
            <w:vAlign w:val="bottom"/>
            <w:hideMark/>
          </w:tcPr>
          <w:p w14:paraId="2D21E887" w14:textId="77777777" w:rsidR="00DA5579" w:rsidRPr="00AC5212" w:rsidRDefault="003A3CFD" w:rsidP="00DA5579">
            <w:pPr>
              <w:rPr>
                <w:rFonts w:ascii="Times New Roman" w:hAnsi="Times New Roman"/>
                <w:sz w:val="20"/>
              </w:rPr>
            </w:pPr>
          </w:p>
        </w:tc>
        <w:tc>
          <w:tcPr>
            <w:tcW w:w="1134" w:type="dxa"/>
            <w:tcBorders>
              <w:top w:val="nil"/>
              <w:left w:val="nil"/>
              <w:bottom w:val="nil"/>
              <w:right w:val="nil"/>
            </w:tcBorders>
            <w:shd w:val="clear" w:color="auto" w:fill="auto"/>
            <w:noWrap/>
            <w:vAlign w:val="bottom"/>
            <w:hideMark/>
          </w:tcPr>
          <w:p w14:paraId="2D21E888" w14:textId="77777777" w:rsidR="00DA5579" w:rsidRPr="00AC5212" w:rsidRDefault="003A3CFD" w:rsidP="00DA5579">
            <w:pPr>
              <w:rPr>
                <w:rFonts w:ascii="Times New Roman" w:hAnsi="Times New Roman"/>
                <w:sz w:val="20"/>
              </w:rPr>
            </w:pPr>
          </w:p>
        </w:tc>
      </w:tr>
      <w:tr w:rsidR="006619F2" w14:paraId="2D21E88E" w14:textId="77777777" w:rsidTr="00DA5579">
        <w:trPr>
          <w:trHeight w:val="315"/>
        </w:trPr>
        <w:tc>
          <w:tcPr>
            <w:tcW w:w="69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D21E88A" w14:textId="77777777" w:rsidR="00DA5579" w:rsidRDefault="0058317E" w:rsidP="00DA5579">
            <w:pPr>
              <w:jc w:val="both"/>
              <w:rPr>
                <w:rFonts w:cs="Arial"/>
                <w:b/>
                <w:bCs/>
                <w:color w:val="000000"/>
                <w:szCs w:val="24"/>
              </w:rPr>
            </w:pPr>
            <w:r w:rsidRPr="00AC5212">
              <w:rPr>
                <w:rFonts w:cs="Arial"/>
                <w:b/>
                <w:bCs/>
                <w:color w:val="000000"/>
                <w:szCs w:val="24"/>
              </w:rPr>
              <w:t>Maturity structure of debt</w:t>
            </w:r>
          </w:p>
          <w:p w14:paraId="2D21E88B" w14:textId="77777777" w:rsidR="00DA5579" w:rsidRPr="00AC5212" w:rsidRDefault="0058317E" w:rsidP="00DA5579">
            <w:pPr>
              <w:jc w:val="both"/>
              <w:rPr>
                <w:rFonts w:cs="Arial"/>
                <w:b/>
                <w:bCs/>
                <w:color w:val="000000"/>
                <w:szCs w:val="24"/>
              </w:rPr>
            </w:pPr>
            <w:r>
              <w:rPr>
                <w:rFonts w:cs="Arial"/>
                <w:color w:val="000000"/>
                <w:szCs w:val="24"/>
              </w:rPr>
              <w:t>L</w:t>
            </w:r>
            <w:r w:rsidRPr="00AC5212">
              <w:rPr>
                <w:rFonts w:cs="Arial"/>
                <w:color w:val="000000"/>
                <w:szCs w:val="24"/>
              </w:rPr>
              <w:t>imit on the maturity structure of debt helps control refinancing risk.</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14:paraId="2D21E88C" w14:textId="77777777" w:rsidR="00DA5579" w:rsidRPr="00AC5212" w:rsidRDefault="0058317E" w:rsidP="00DA5579">
            <w:pPr>
              <w:jc w:val="center"/>
              <w:rPr>
                <w:rFonts w:cs="Arial"/>
                <w:b/>
                <w:bCs/>
                <w:color w:val="000000"/>
                <w:szCs w:val="24"/>
              </w:rPr>
            </w:pPr>
            <w:r w:rsidRPr="00AC5212">
              <w:rPr>
                <w:rFonts w:cs="Arial"/>
                <w:b/>
                <w:bCs/>
                <w:color w:val="000000"/>
                <w:szCs w:val="24"/>
              </w:rPr>
              <w:t>Upper Limit %</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2D21E88D" w14:textId="77777777" w:rsidR="00DA5579" w:rsidRPr="00AC5212" w:rsidRDefault="0058317E" w:rsidP="00DA5579">
            <w:pPr>
              <w:jc w:val="center"/>
              <w:rPr>
                <w:rFonts w:cs="Arial"/>
                <w:b/>
                <w:bCs/>
                <w:color w:val="000000"/>
                <w:szCs w:val="24"/>
              </w:rPr>
            </w:pPr>
            <w:r w:rsidRPr="00AC5212">
              <w:rPr>
                <w:rFonts w:cs="Arial"/>
                <w:b/>
                <w:bCs/>
                <w:color w:val="000000"/>
                <w:szCs w:val="24"/>
              </w:rPr>
              <w:t>Actual %</w:t>
            </w:r>
          </w:p>
        </w:tc>
      </w:tr>
      <w:tr w:rsidR="006619F2" w14:paraId="2D21E892" w14:textId="77777777" w:rsidTr="00DA5579">
        <w:trPr>
          <w:trHeight w:val="315"/>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1E88F" w14:textId="77777777" w:rsidR="00DA5579" w:rsidRPr="00AC5212" w:rsidRDefault="0058317E" w:rsidP="00DA5579">
            <w:pPr>
              <w:jc w:val="both"/>
              <w:rPr>
                <w:rFonts w:cs="Arial"/>
                <w:color w:val="000000"/>
                <w:szCs w:val="24"/>
              </w:rPr>
            </w:pPr>
            <w:r w:rsidRPr="00AC5212">
              <w:rPr>
                <w:rFonts w:cs="Arial"/>
                <w:color w:val="000000"/>
                <w:szCs w:val="24"/>
              </w:rPr>
              <w:t>Under 12 months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E890" w14:textId="77777777" w:rsidR="00DA5579" w:rsidRPr="00AC5212" w:rsidRDefault="0058317E" w:rsidP="00DA5579">
            <w:pPr>
              <w:jc w:val="center"/>
              <w:rPr>
                <w:rFonts w:cs="Arial"/>
                <w:color w:val="000000"/>
                <w:szCs w:val="24"/>
              </w:rPr>
            </w:pPr>
            <w:r>
              <w:rPr>
                <w:rFonts w:cs="Arial"/>
                <w:color w:val="000000"/>
                <w:szCs w:val="24"/>
              </w:rPr>
              <w:t>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E891" w14:textId="77777777" w:rsidR="00DA5579" w:rsidRPr="00AC5212" w:rsidRDefault="0058317E" w:rsidP="00DA5579">
            <w:pPr>
              <w:jc w:val="center"/>
              <w:rPr>
                <w:rFonts w:cs="Arial"/>
                <w:color w:val="000000"/>
                <w:szCs w:val="24"/>
              </w:rPr>
            </w:pPr>
            <w:r>
              <w:rPr>
                <w:rFonts w:cs="Arial"/>
                <w:color w:val="000000"/>
                <w:szCs w:val="24"/>
              </w:rPr>
              <w:t>45</w:t>
            </w:r>
          </w:p>
        </w:tc>
      </w:tr>
      <w:tr w:rsidR="006619F2" w14:paraId="2D21E896" w14:textId="77777777" w:rsidTr="00DA5579">
        <w:trPr>
          <w:trHeight w:val="315"/>
        </w:trPr>
        <w:tc>
          <w:tcPr>
            <w:tcW w:w="694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D21E893" w14:textId="77777777" w:rsidR="00DA5579" w:rsidRPr="00AC5212" w:rsidRDefault="0058317E" w:rsidP="00DA5579">
            <w:pPr>
              <w:jc w:val="both"/>
              <w:rPr>
                <w:rFonts w:cs="Arial"/>
                <w:color w:val="000000"/>
                <w:szCs w:val="24"/>
              </w:rPr>
            </w:pPr>
            <w:r w:rsidRPr="00AC5212">
              <w:rPr>
                <w:rFonts w:cs="Arial"/>
                <w:color w:val="000000"/>
                <w:szCs w:val="24"/>
              </w:rPr>
              <w:t>12 months and within 2 years</w:t>
            </w:r>
          </w:p>
        </w:tc>
        <w:tc>
          <w:tcPr>
            <w:tcW w:w="1559" w:type="dxa"/>
            <w:tcBorders>
              <w:top w:val="single" w:sz="4" w:space="0" w:color="auto"/>
              <w:left w:val="nil"/>
              <w:bottom w:val="single" w:sz="8" w:space="0" w:color="auto"/>
              <w:right w:val="single" w:sz="8" w:space="0" w:color="auto"/>
            </w:tcBorders>
            <w:shd w:val="clear" w:color="auto" w:fill="auto"/>
            <w:noWrap/>
          </w:tcPr>
          <w:p w14:paraId="2D21E894" w14:textId="77777777" w:rsidR="00DA5579" w:rsidRDefault="0058317E" w:rsidP="00DA5579">
            <w:pPr>
              <w:jc w:val="center"/>
            </w:pPr>
            <w:r w:rsidRPr="00331134">
              <w:rPr>
                <w:rFonts w:cs="Arial"/>
                <w:color w:val="000000"/>
                <w:szCs w:val="24"/>
              </w:rPr>
              <w:t>75</w:t>
            </w:r>
          </w:p>
        </w:tc>
        <w:tc>
          <w:tcPr>
            <w:tcW w:w="1134" w:type="dxa"/>
            <w:tcBorders>
              <w:top w:val="single" w:sz="4" w:space="0" w:color="auto"/>
              <w:left w:val="nil"/>
              <w:bottom w:val="single" w:sz="8" w:space="0" w:color="auto"/>
              <w:right w:val="single" w:sz="8" w:space="0" w:color="auto"/>
            </w:tcBorders>
            <w:shd w:val="clear" w:color="auto" w:fill="auto"/>
            <w:noWrap/>
            <w:vAlign w:val="center"/>
          </w:tcPr>
          <w:p w14:paraId="2D21E895" w14:textId="77777777" w:rsidR="00DA5579" w:rsidRPr="00AC5212" w:rsidRDefault="0058317E" w:rsidP="00DA5579">
            <w:pPr>
              <w:jc w:val="center"/>
              <w:rPr>
                <w:rFonts w:cs="Arial"/>
                <w:color w:val="000000"/>
                <w:szCs w:val="24"/>
              </w:rPr>
            </w:pPr>
            <w:r>
              <w:rPr>
                <w:rFonts w:cs="Arial"/>
                <w:color w:val="000000"/>
                <w:szCs w:val="24"/>
              </w:rPr>
              <w:t>13</w:t>
            </w:r>
          </w:p>
        </w:tc>
      </w:tr>
      <w:tr w:rsidR="006619F2" w14:paraId="2D21E89A" w14:textId="77777777" w:rsidTr="00DA5579">
        <w:trPr>
          <w:trHeight w:val="315"/>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2D21E897" w14:textId="77777777" w:rsidR="00DA5579" w:rsidRPr="00AC5212" w:rsidRDefault="0058317E" w:rsidP="00DA5579">
            <w:pPr>
              <w:jc w:val="both"/>
              <w:rPr>
                <w:rFonts w:cs="Arial"/>
                <w:color w:val="000000"/>
                <w:szCs w:val="24"/>
              </w:rPr>
            </w:pPr>
            <w:r w:rsidRPr="00AC5212">
              <w:rPr>
                <w:rFonts w:cs="Arial"/>
                <w:color w:val="000000"/>
                <w:szCs w:val="24"/>
              </w:rPr>
              <w:t>2 years and within 5 years</w:t>
            </w:r>
          </w:p>
        </w:tc>
        <w:tc>
          <w:tcPr>
            <w:tcW w:w="1559" w:type="dxa"/>
            <w:tcBorders>
              <w:top w:val="nil"/>
              <w:left w:val="nil"/>
              <w:bottom w:val="single" w:sz="8" w:space="0" w:color="auto"/>
              <w:right w:val="single" w:sz="8" w:space="0" w:color="auto"/>
            </w:tcBorders>
            <w:shd w:val="clear" w:color="auto" w:fill="auto"/>
            <w:noWrap/>
          </w:tcPr>
          <w:p w14:paraId="2D21E898" w14:textId="77777777" w:rsidR="00DA5579" w:rsidRDefault="0058317E" w:rsidP="00DA5579">
            <w:pPr>
              <w:jc w:val="center"/>
            </w:pPr>
            <w:r w:rsidRPr="00331134">
              <w:rPr>
                <w:rFonts w:cs="Arial"/>
                <w:color w:val="000000"/>
                <w:szCs w:val="24"/>
              </w:rPr>
              <w:t>75</w:t>
            </w:r>
          </w:p>
        </w:tc>
        <w:tc>
          <w:tcPr>
            <w:tcW w:w="1134" w:type="dxa"/>
            <w:tcBorders>
              <w:top w:val="nil"/>
              <w:left w:val="nil"/>
              <w:bottom w:val="single" w:sz="8" w:space="0" w:color="auto"/>
              <w:right w:val="single" w:sz="8" w:space="0" w:color="auto"/>
            </w:tcBorders>
            <w:shd w:val="clear" w:color="auto" w:fill="auto"/>
            <w:noWrap/>
            <w:vAlign w:val="center"/>
          </w:tcPr>
          <w:p w14:paraId="2D21E899" w14:textId="77777777" w:rsidR="00DA5579" w:rsidRPr="00AC5212" w:rsidRDefault="0058317E" w:rsidP="00DA5579">
            <w:pPr>
              <w:jc w:val="center"/>
              <w:rPr>
                <w:rFonts w:cs="Arial"/>
                <w:color w:val="000000"/>
                <w:szCs w:val="24"/>
              </w:rPr>
            </w:pPr>
            <w:r>
              <w:rPr>
                <w:rFonts w:cs="Arial"/>
                <w:color w:val="000000"/>
                <w:szCs w:val="24"/>
              </w:rPr>
              <w:t>25</w:t>
            </w:r>
          </w:p>
        </w:tc>
      </w:tr>
      <w:tr w:rsidR="006619F2" w14:paraId="2D21E89E" w14:textId="77777777" w:rsidTr="00DA5579">
        <w:trPr>
          <w:trHeight w:val="315"/>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2D21E89B" w14:textId="77777777" w:rsidR="00DA5579" w:rsidRPr="00AC5212" w:rsidRDefault="0058317E" w:rsidP="00DA5579">
            <w:pPr>
              <w:jc w:val="both"/>
              <w:rPr>
                <w:rFonts w:cs="Arial"/>
                <w:color w:val="000000"/>
                <w:szCs w:val="24"/>
              </w:rPr>
            </w:pPr>
            <w:r w:rsidRPr="00AC5212">
              <w:rPr>
                <w:rFonts w:cs="Arial"/>
                <w:color w:val="000000"/>
                <w:szCs w:val="24"/>
              </w:rPr>
              <w:t>5 years and within 10 years</w:t>
            </w:r>
          </w:p>
        </w:tc>
        <w:tc>
          <w:tcPr>
            <w:tcW w:w="1559" w:type="dxa"/>
            <w:tcBorders>
              <w:top w:val="nil"/>
              <w:left w:val="nil"/>
              <w:bottom w:val="single" w:sz="8" w:space="0" w:color="auto"/>
              <w:right w:val="single" w:sz="8" w:space="0" w:color="auto"/>
            </w:tcBorders>
            <w:shd w:val="clear" w:color="auto" w:fill="auto"/>
            <w:noWrap/>
          </w:tcPr>
          <w:p w14:paraId="2D21E89C" w14:textId="77777777" w:rsidR="00DA5579" w:rsidRDefault="0058317E" w:rsidP="00DA5579">
            <w:pPr>
              <w:jc w:val="center"/>
            </w:pPr>
            <w:r w:rsidRPr="00331134">
              <w:rPr>
                <w:rFonts w:cs="Arial"/>
                <w:color w:val="000000"/>
                <w:szCs w:val="24"/>
              </w:rPr>
              <w:t>75</w:t>
            </w:r>
          </w:p>
        </w:tc>
        <w:tc>
          <w:tcPr>
            <w:tcW w:w="1134" w:type="dxa"/>
            <w:tcBorders>
              <w:top w:val="nil"/>
              <w:left w:val="nil"/>
              <w:bottom w:val="single" w:sz="8" w:space="0" w:color="auto"/>
              <w:right w:val="single" w:sz="8" w:space="0" w:color="auto"/>
            </w:tcBorders>
            <w:shd w:val="clear" w:color="auto" w:fill="auto"/>
            <w:noWrap/>
            <w:vAlign w:val="center"/>
          </w:tcPr>
          <w:p w14:paraId="2D21E89D" w14:textId="77777777" w:rsidR="00DA5579" w:rsidRPr="00AC5212" w:rsidRDefault="0058317E" w:rsidP="00DA5579">
            <w:pPr>
              <w:jc w:val="center"/>
              <w:rPr>
                <w:rFonts w:cs="Arial"/>
                <w:color w:val="000000"/>
                <w:szCs w:val="24"/>
              </w:rPr>
            </w:pPr>
            <w:r>
              <w:rPr>
                <w:rFonts w:cs="Arial"/>
                <w:color w:val="000000"/>
                <w:szCs w:val="24"/>
              </w:rPr>
              <w:t>3</w:t>
            </w:r>
          </w:p>
        </w:tc>
      </w:tr>
      <w:tr w:rsidR="006619F2" w14:paraId="2D21E8A2" w14:textId="77777777" w:rsidTr="00DA5579">
        <w:trPr>
          <w:trHeight w:val="315"/>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2D21E89F" w14:textId="77777777" w:rsidR="00DA5579" w:rsidRPr="00AC5212" w:rsidRDefault="0058317E" w:rsidP="00DA5579">
            <w:pPr>
              <w:jc w:val="both"/>
              <w:rPr>
                <w:rFonts w:cs="Arial"/>
                <w:color w:val="000000"/>
                <w:szCs w:val="24"/>
              </w:rPr>
            </w:pPr>
            <w:r w:rsidRPr="00AC5212">
              <w:rPr>
                <w:rFonts w:cs="Arial"/>
                <w:color w:val="000000"/>
                <w:szCs w:val="24"/>
              </w:rPr>
              <w:t>10 years and above</w:t>
            </w:r>
          </w:p>
        </w:tc>
        <w:tc>
          <w:tcPr>
            <w:tcW w:w="1559" w:type="dxa"/>
            <w:tcBorders>
              <w:top w:val="nil"/>
              <w:left w:val="nil"/>
              <w:bottom w:val="single" w:sz="8" w:space="0" w:color="auto"/>
              <w:right w:val="single" w:sz="8" w:space="0" w:color="auto"/>
            </w:tcBorders>
            <w:shd w:val="clear" w:color="auto" w:fill="auto"/>
            <w:noWrap/>
          </w:tcPr>
          <w:p w14:paraId="2D21E8A0" w14:textId="77777777" w:rsidR="00DA5579" w:rsidRDefault="0058317E" w:rsidP="00DA5579">
            <w:pPr>
              <w:jc w:val="center"/>
            </w:pPr>
            <w:r w:rsidRPr="00331134">
              <w:rPr>
                <w:rFonts w:cs="Arial"/>
                <w:color w:val="000000"/>
                <w:szCs w:val="24"/>
              </w:rPr>
              <w:t>75</w:t>
            </w:r>
          </w:p>
        </w:tc>
        <w:tc>
          <w:tcPr>
            <w:tcW w:w="1134" w:type="dxa"/>
            <w:tcBorders>
              <w:top w:val="nil"/>
              <w:left w:val="nil"/>
              <w:bottom w:val="single" w:sz="8" w:space="0" w:color="auto"/>
              <w:right w:val="single" w:sz="8" w:space="0" w:color="auto"/>
            </w:tcBorders>
            <w:shd w:val="clear" w:color="auto" w:fill="auto"/>
            <w:noWrap/>
            <w:vAlign w:val="center"/>
          </w:tcPr>
          <w:p w14:paraId="2D21E8A1" w14:textId="77777777" w:rsidR="00DA5579" w:rsidRPr="00AC5212" w:rsidRDefault="0058317E" w:rsidP="00DA5579">
            <w:pPr>
              <w:jc w:val="center"/>
              <w:rPr>
                <w:rFonts w:cs="Arial"/>
                <w:color w:val="000000"/>
                <w:szCs w:val="24"/>
              </w:rPr>
            </w:pPr>
            <w:r>
              <w:rPr>
                <w:rFonts w:cs="Arial"/>
                <w:color w:val="000000"/>
                <w:szCs w:val="24"/>
              </w:rPr>
              <w:t>14</w:t>
            </w:r>
          </w:p>
        </w:tc>
      </w:tr>
      <w:tr w:rsidR="006619F2" w14:paraId="2D21E8A6" w14:textId="77777777" w:rsidTr="00DA5579">
        <w:trPr>
          <w:trHeight w:val="315"/>
        </w:trPr>
        <w:tc>
          <w:tcPr>
            <w:tcW w:w="6946" w:type="dxa"/>
            <w:tcBorders>
              <w:top w:val="nil"/>
              <w:left w:val="nil"/>
              <w:bottom w:val="nil"/>
              <w:right w:val="nil"/>
            </w:tcBorders>
            <w:shd w:val="clear" w:color="auto" w:fill="auto"/>
            <w:noWrap/>
            <w:vAlign w:val="bottom"/>
            <w:hideMark/>
          </w:tcPr>
          <w:p w14:paraId="2D21E8A3" w14:textId="77777777" w:rsidR="00DA5579" w:rsidRPr="00AC5212" w:rsidRDefault="003A3CFD" w:rsidP="00DA5579">
            <w:pPr>
              <w:jc w:val="center"/>
              <w:rPr>
                <w:rFonts w:cs="Arial"/>
                <w:b/>
                <w:bCs/>
                <w:color w:val="000000"/>
                <w:szCs w:val="24"/>
              </w:rPr>
            </w:pPr>
          </w:p>
        </w:tc>
        <w:tc>
          <w:tcPr>
            <w:tcW w:w="1559" w:type="dxa"/>
            <w:tcBorders>
              <w:top w:val="nil"/>
              <w:left w:val="nil"/>
              <w:bottom w:val="nil"/>
              <w:right w:val="nil"/>
            </w:tcBorders>
            <w:shd w:val="clear" w:color="auto" w:fill="auto"/>
            <w:noWrap/>
            <w:vAlign w:val="bottom"/>
            <w:hideMark/>
          </w:tcPr>
          <w:p w14:paraId="2D21E8A4" w14:textId="77777777" w:rsidR="00DA5579" w:rsidRPr="00AC5212" w:rsidRDefault="003A3CFD" w:rsidP="00DA5579">
            <w:pPr>
              <w:rPr>
                <w:rFonts w:ascii="Times New Roman" w:hAnsi="Times New Roman"/>
                <w:sz w:val="20"/>
              </w:rPr>
            </w:pPr>
          </w:p>
        </w:tc>
        <w:tc>
          <w:tcPr>
            <w:tcW w:w="1134" w:type="dxa"/>
            <w:tcBorders>
              <w:top w:val="nil"/>
              <w:left w:val="nil"/>
              <w:bottom w:val="nil"/>
              <w:right w:val="nil"/>
            </w:tcBorders>
            <w:shd w:val="clear" w:color="auto" w:fill="auto"/>
            <w:noWrap/>
            <w:vAlign w:val="bottom"/>
            <w:hideMark/>
          </w:tcPr>
          <w:p w14:paraId="2D21E8A5" w14:textId="77777777" w:rsidR="00DA5579" w:rsidRPr="00AC5212" w:rsidRDefault="003A3CFD" w:rsidP="00DA5579">
            <w:pPr>
              <w:rPr>
                <w:rFonts w:ascii="Times New Roman" w:hAnsi="Times New Roman"/>
                <w:sz w:val="20"/>
              </w:rPr>
            </w:pPr>
          </w:p>
        </w:tc>
      </w:tr>
      <w:tr w:rsidR="006619F2" w14:paraId="2D21E8AA" w14:textId="77777777" w:rsidTr="00DA5579">
        <w:trPr>
          <w:trHeight w:val="315"/>
        </w:trPr>
        <w:tc>
          <w:tcPr>
            <w:tcW w:w="6946" w:type="dxa"/>
            <w:tcBorders>
              <w:top w:val="single" w:sz="8" w:space="0" w:color="auto"/>
              <w:left w:val="single" w:sz="8" w:space="0" w:color="auto"/>
              <w:bottom w:val="nil"/>
              <w:right w:val="single" w:sz="8" w:space="0" w:color="auto"/>
            </w:tcBorders>
            <w:shd w:val="clear" w:color="auto" w:fill="auto"/>
            <w:noWrap/>
            <w:vAlign w:val="center"/>
            <w:hideMark/>
          </w:tcPr>
          <w:p w14:paraId="2D21E8A7" w14:textId="77777777" w:rsidR="00DA5579" w:rsidRPr="00AC5212" w:rsidRDefault="0058317E" w:rsidP="00DA5579">
            <w:pPr>
              <w:jc w:val="both"/>
              <w:rPr>
                <w:rFonts w:cs="Arial"/>
                <w:b/>
                <w:bCs/>
                <w:color w:val="000000"/>
                <w:szCs w:val="24"/>
              </w:rPr>
            </w:pPr>
            <w:r w:rsidRPr="00AC5212">
              <w:rPr>
                <w:rFonts w:cs="Arial"/>
                <w:b/>
                <w:bCs/>
                <w:color w:val="000000"/>
                <w:szCs w:val="24"/>
              </w:rPr>
              <w:t>Minimum Average Credit Rating</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21E8A8" w14:textId="77777777" w:rsidR="00DA5579" w:rsidRPr="00AC5212" w:rsidRDefault="0058317E" w:rsidP="00DA5579">
            <w:pPr>
              <w:jc w:val="center"/>
              <w:rPr>
                <w:rFonts w:cs="Arial"/>
                <w:b/>
                <w:bCs/>
                <w:color w:val="000000"/>
                <w:szCs w:val="24"/>
              </w:rPr>
            </w:pPr>
            <w:r w:rsidRPr="00AC5212">
              <w:rPr>
                <w:rFonts w:cs="Arial"/>
                <w:b/>
                <w:bCs/>
                <w:color w:val="000000"/>
                <w:szCs w:val="24"/>
              </w:rPr>
              <w:t>Benchmark</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D21E8A9" w14:textId="77777777" w:rsidR="00DA5579" w:rsidRPr="00AC5212" w:rsidRDefault="0058317E" w:rsidP="00DA5579">
            <w:pPr>
              <w:jc w:val="center"/>
              <w:rPr>
                <w:rFonts w:cs="Arial"/>
                <w:b/>
                <w:bCs/>
                <w:color w:val="000000"/>
                <w:szCs w:val="24"/>
              </w:rPr>
            </w:pPr>
            <w:r w:rsidRPr="00AC5212">
              <w:rPr>
                <w:rFonts w:cs="Arial"/>
                <w:b/>
                <w:bCs/>
                <w:color w:val="000000"/>
                <w:szCs w:val="24"/>
              </w:rPr>
              <w:t>Actual</w:t>
            </w:r>
          </w:p>
        </w:tc>
      </w:tr>
      <w:tr w:rsidR="006619F2" w14:paraId="2D21E8AE" w14:textId="77777777" w:rsidTr="00DA5579">
        <w:trPr>
          <w:trHeight w:val="615"/>
        </w:trPr>
        <w:tc>
          <w:tcPr>
            <w:tcW w:w="6946" w:type="dxa"/>
            <w:tcBorders>
              <w:top w:val="nil"/>
              <w:left w:val="single" w:sz="8" w:space="0" w:color="auto"/>
              <w:bottom w:val="single" w:sz="8" w:space="0" w:color="auto"/>
              <w:right w:val="single" w:sz="8" w:space="0" w:color="auto"/>
            </w:tcBorders>
            <w:shd w:val="clear" w:color="auto" w:fill="auto"/>
            <w:vAlign w:val="center"/>
            <w:hideMark/>
          </w:tcPr>
          <w:p w14:paraId="2D21E8AB" w14:textId="77777777" w:rsidR="00DA5579" w:rsidRPr="00AC5212" w:rsidRDefault="0058317E" w:rsidP="00DA5579">
            <w:pPr>
              <w:jc w:val="both"/>
              <w:rPr>
                <w:rFonts w:cs="Arial"/>
                <w:color w:val="000000"/>
                <w:szCs w:val="24"/>
              </w:rPr>
            </w:pPr>
            <w:r w:rsidRPr="00AC5212">
              <w:rPr>
                <w:rFonts w:cs="Arial"/>
                <w:color w:val="000000"/>
                <w:szCs w:val="24"/>
              </w:rPr>
              <w:t xml:space="preserve">To control credit risk the </w:t>
            </w:r>
            <w:r>
              <w:rPr>
                <w:rFonts w:cs="Arial"/>
                <w:color w:val="000000"/>
                <w:szCs w:val="24"/>
              </w:rPr>
              <w:t>co</w:t>
            </w:r>
            <w:r w:rsidRPr="00AC5212">
              <w:rPr>
                <w:rFonts w:cs="Arial"/>
                <w:color w:val="000000"/>
                <w:szCs w:val="24"/>
              </w:rPr>
              <w:t>uncil requires a very high credit rating from its treasury counterparties.</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2D21E8AC" w14:textId="77777777" w:rsidR="00DA5579" w:rsidRPr="00AC5212" w:rsidRDefault="003A3CFD" w:rsidP="00DA5579">
            <w:pPr>
              <w:rPr>
                <w:rFonts w:cs="Arial"/>
                <w:b/>
                <w:bCs/>
                <w:color w:val="000000"/>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D21E8AD" w14:textId="77777777" w:rsidR="00DA5579" w:rsidRPr="00AC5212" w:rsidRDefault="003A3CFD" w:rsidP="00DA5579">
            <w:pPr>
              <w:rPr>
                <w:rFonts w:cs="Arial"/>
                <w:b/>
                <w:bCs/>
                <w:color w:val="000000"/>
                <w:szCs w:val="24"/>
              </w:rPr>
            </w:pPr>
          </w:p>
        </w:tc>
      </w:tr>
      <w:tr w:rsidR="006619F2" w14:paraId="2D21E8B2" w14:textId="77777777" w:rsidTr="00DA5579">
        <w:trPr>
          <w:trHeight w:val="315"/>
        </w:trPr>
        <w:tc>
          <w:tcPr>
            <w:tcW w:w="6946" w:type="dxa"/>
            <w:tcBorders>
              <w:top w:val="nil"/>
              <w:left w:val="single" w:sz="8" w:space="0" w:color="auto"/>
              <w:bottom w:val="single" w:sz="8" w:space="0" w:color="auto"/>
              <w:right w:val="single" w:sz="8" w:space="0" w:color="auto"/>
            </w:tcBorders>
            <w:shd w:val="clear" w:color="auto" w:fill="auto"/>
            <w:noWrap/>
            <w:vAlign w:val="center"/>
            <w:hideMark/>
          </w:tcPr>
          <w:p w14:paraId="2D21E8AF" w14:textId="77777777" w:rsidR="00DA5579" w:rsidRPr="00AC5212" w:rsidRDefault="0058317E" w:rsidP="00DA5579">
            <w:pPr>
              <w:jc w:val="both"/>
              <w:rPr>
                <w:rFonts w:cs="Arial"/>
                <w:color w:val="000000"/>
                <w:szCs w:val="24"/>
              </w:rPr>
            </w:pPr>
            <w:r w:rsidRPr="00AC5212">
              <w:rPr>
                <w:rFonts w:cs="Arial"/>
                <w:color w:val="000000"/>
                <w:szCs w:val="24"/>
              </w:rPr>
              <w:t>Average counterparty credit rating</w:t>
            </w:r>
          </w:p>
        </w:tc>
        <w:tc>
          <w:tcPr>
            <w:tcW w:w="1559" w:type="dxa"/>
            <w:tcBorders>
              <w:top w:val="nil"/>
              <w:left w:val="nil"/>
              <w:bottom w:val="single" w:sz="8" w:space="0" w:color="auto"/>
              <w:right w:val="single" w:sz="8" w:space="0" w:color="auto"/>
            </w:tcBorders>
            <w:shd w:val="clear" w:color="auto" w:fill="auto"/>
            <w:noWrap/>
            <w:vAlign w:val="center"/>
          </w:tcPr>
          <w:p w14:paraId="2D21E8B0" w14:textId="77777777" w:rsidR="00DA5579" w:rsidRPr="00AC5212" w:rsidRDefault="0058317E" w:rsidP="00DA5579">
            <w:pPr>
              <w:jc w:val="center"/>
              <w:rPr>
                <w:rFonts w:cs="Arial"/>
                <w:color w:val="000000"/>
                <w:szCs w:val="24"/>
              </w:rPr>
            </w:pPr>
            <w:r>
              <w:rPr>
                <w:rFonts w:cs="Arial"/>
                <w:color w:val="000000"/>
                <w:szCs w:val="24"/>
              </w:rPr>
              <w:t>A</w:t>
            </w:r>
          </w:p>
        </w:tc>
        <w:tc>
          <w:tcPr>
            <w:tcW w:w="1134" w:type="dxa"/>
            <w:tcBorders>
              <w:top w:val="nil"/>
              <w:left w:val="nil"/>
              <w:bottom w:val="single" w:sz="8" w:space="0" w:color="auto"/>
              <w:right w:val="single" w:sz="8" w:space="0" w:color="auto"/>
            </w:tcBorders>
            <w:shd w:val="clear" w:color="auto" w:fill="auto"/>
            <w:noWrap/>
            <w:vAlign w:val="center"/>
          </w:tcPr>
          <w:p w14:paraId="2D21E8B1" w14:textId="77777777" w:rsidR="00DA5579" w:rsidRPr="00AC5212" w:rsidRDefault="0058317E" w:rsidP="00DA5579">
            <w:pPr>
              <w:jc w:val="center"/>
              <w:rPr>
                <w:rFonts w:cs="Arial"/>
                <w:color w:val="000000"/>
                <w:szCs w:val="24"/>
              </w:rPr>
            </w:pPr>
            <w:r>
              <w:rPr>
                <w:rFonts w:cs="Arial"/>
                <w:color w:val="000000"/>
                <w:szCs w:val="24"/>
              </w:rPr>
              <w:t>AA</w:t>
            </w:r>
          </w:p>
        </w:tc>
      </w:tr>
    </w:tbl>
    <w:p w14:paraId="2D21E8B3" w14:textId="77777777" w:rsidR="00DA5579" w:rsidRPr="005C0956" w:rsidRDefault="003A3CFD" w:rsidP="00DA5579">
      <w:pPr>
        <w:rPr>
          <w:sz w:val="16"/>
          <w:szCs w:val="16"/>
        </w:rPr>
      </w:pPr>
    </w:p>
    <w:sectPr w:rsidR="00DA5579" w:rsidRPr="005C0956" w:rsidSect="00DA5579">
      <w:footerReference w:type="default" r:id="rId13"/>
      <w:headerReference w:type="first" r:id="rId14"/>
      <w:footerReference w:type="first" r:id="rId15"/>
      <w:pgSz w:w="11907" w:h="16840" w:code="9"/>
      <w:pgMar w:top="144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1E8C0" w14:textId="77777777" w:rsidR="00AC39CD" w:rsidRDefault="0058317E">
      <w:r>
        <w:separator/>
      </w:r>
    </w:p>
  </w:endnote>
  <w:endnote w:type="continuationSeparator" w:id="0">
    <w:p w14:paraId="2D21E8C1" w14:textId="77777777" w:rsidR="00AC39CD" w:rsidRDefault="0058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T369195o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T3691C3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586278"/>
      <w:docPartObj>
        <w:docPartGallery w:val="Page Numbers (Bottom of Page)"/>
        <w:docPartUnique/>
      </w:docPartObj>
    </w:sdtPr>
    <w:sdtEndPr>
      <w:rPr>
        <w:noProof/>
      </w:rPr>
    </w:sdtEndPr>
    <w:sdtContent>
      <w:p w14:paraId="2D21E8C2" w14:textId="3850F2A0" w:rsidR="00DA5579" w:rsidRDefault="0058317E">
        <w:pPr>
          <w:pStyle w:val="Footer"/>
          <w:jc w:val="center"/>
        </w:pPr>
        <w:r>
          <w:fldChar w:fldCharType="begin"/>
        </w:r>
        <w:r>
          <w:instrText xml:space="preserve"> PAGE   \* MERGEFORMAT </w:instrText>
        </w:r>
        <w:r>
          <w:fldChar w:fldCharType="separate"/>
        </w:r>
        <w:r w:rsidR="003A3CFD">
          <w:rPr>
            <w:noProof/>
          </w:rPr>
          <w:t>8</w:t>
        </w:r>
        <w:r>
          <w:rPr>
            <w:noProof/>
          </w:rPr>
          <w:fldChar w:fldCharType="end"/>
        </w:r>
      </w:p>
    </w:sdtContent>
  </w:sdt>
  <w:p w14:paraId="2D21E8C3" w14:textId="77777777" w:rsidR="00DA5579" w:rsidRDefault="003A3CFD">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663750"/>
      <w:docPartObj>
        <w:docPartGallery w:val="Page Numbers (Bottom of Page)"/>
        <w:docPartUnique/>
      </w:docPartObj>
    </w:sdtPr>
    <w:sdtEndPr>
      <w:rPr>
        <w:noProof/>
      </w:rPr>
    </w:sdtEndPr>
    <w:sdtContent>
      <w:p w14:paraId="2D21E8C5" w14:textId="0013945C" w:rsidR="00DA5579" w:rsidRDefault="0058317E">
        <w:pPr>
          <w:pStyle w:val="Footer"/>
          <w:jc w:val="center"/>
        </w:pPr>
        <w:r>
          <w:fldChar w:fldCharType="begin"/>
        </w:r>
        <w:r>
          <w:instrText xml:space="preserve"> PAGE   \* MERGEFORMAT </w:instrText>
        </w:r>
        <w:r>
          <w:fldChar w:fldCharType="separate"/>
        </w:r>
        <w:r w:rsidR="003A3CFD">
          <w:rPr>
            <w:noProof/>
          </w:rPr>
          <w:t>1</w:t>
        </w:r>
        <w:r>
          <w:rPr>
            <w:noProof/>
          </w:rPr>
          <w:fldChar w:fldCharType="end"/>
        </w:r>
      </w:p>
    </w:sdtContent>
  </w:sdt>
  <w:p w14:paraId="2D21E8C6" w14:textId="77777777" w:rsidR="00DA5579" w:rsidRDefault="003A3CFD">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1E8BE" w14:textId="77777777" w:rsidR="00AC39CD" w:rsidRDefault="0058317E">
      <w:r>
        <w:separator/>
      </w:r>
    </w:p>
  </w:footnote>
  <w:footnote w:type="continuationSeparator" w:id="0">
    <w:p w14:paraId="2D21E8BF" w14:textId="77777777" w:rsidR="00AC39CD" w:rsidRDefault="0058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1E8C4" w14:textId="77777777" w:rsidR="00DA5579" w:rsidRPr="00962377" w:rsidRDefault="003A3CFD" w:rsidP="00DA5579">
    <w:pPr>
      <w:pStyle w:val="Header"/>
      <w:jc w:val="center"/>
      <w:rPr>
        <w:b/>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8"/>
    <w:lvl w:ilvl="0">
      <w:start w:val="1"/>
      <w:numFmt w:val="decimal"/>
      <w:lvlText w:val="%1."/>
      <w:lvlJc w:val="left"/>
      <w:pPr>
        <w:tabs>
          <w:tab w:val="num" w:pos="720"/>
        </w:tabs>
        <w:ind w:left="720" w:hanging="720"/>
      </w:pPr>
      <w:rPr>
        <w:rFonts w:ascii="Verdana" w:hAnsi="Verdana" w:cs="Times New Roman"/>
        <w:sz w:val="20"/>
        <w:szCs w:val="20"/>
      </w:rPr>
    </w:lvl>
  </w:abstractNum>
  <w:abstractNum w:abstractNumId="1" w15:restartNumberingAfterBreak="0">
    <w:nsid w:val="000B4694"/>
    <w:multiLevelType w:val="hybridMultilevel"/>
    <w:tmpl w:val="BB2CF7BC"/>
    <w:lvl w:ilvl="0" w:tplc="AAD2EF70">
      <w:start w:val="4"/>
      <w:numFmt w:val="decimal"/>
      <w:lvlText w:val="%1."/>
      <w:lvlJc w:val="left"/>
      <w:pPr>
        <w:ind w:left="720" w:hanging="360"/>
      </w:pPr>
      <w:rPr>
        <w:rFonts w:cs="Times New Roman" w:hint="default"/>
      </w:rPr>
    </w:lvl>
    <w:lvl w:ilvl="1" w:tplc="31E0B644" w:tentative="1">
      <w:start w:val="1"/>
      <w:numFmt w:val="lowerLetter"/>
      <w:lvlText w:val="%2."/>
      <w:lvlJc w:val="left"/>
      <w:pPr>
        <w:ind w:left="1440" w:hanging="360"/>
      </w:pPr>
      <w:rPr>
        <w:rFonts w:cs="Times New Roman"/>
      </w:rPr>
    </w:lvl>
    <w:lvl w:ilvl="2" w:tplc="D8282428" w:tentative="1">
      <w:start w:val="1"/>
      <w:numFmt w:val="lowerRoman"/>
      <w:lvlText w:val="%3."/>
      <w:lvlJc w:val="right"/>
      <w:pPr>
        <w:ind w:left="2160" w:hanging="180"/>
      </w:pPr>
      <w:rPr>
        <w:rFonts w:cs="Times New Roman"/>
      </w:rPr>
    </w:lvl>
    <w:lvl w:ilvl="3" w:tplc="7AE2B168" w:tentative="1">
      <w:start w:val="1"/>
      <w:numFmt w:val="decimal"/>
      <w:lvlText w:val="%4."/>
      <w:lvlJc w:val="left"/>
      <w:pPr>
        <w:ind w:left="2880" w:hanging="360"/>
      </w:pPr>
      <w:rPr>
        <w:rFonts w:cs="Times New Roman"/>
      </w:rPr>
    </w:lvl>
    <w:lvl w:ilvl="4" w:tplc="7E1670C6" w:tentative="1">
      <w:start w:val="1"/>
      <w:numFmt w:val="lowerLetter"/>
      <w:lvlText w:val="%5."/>
      <w:lvlJc w:val="left"/>
      <w:pPr>
        <w:ind w:left="3600" w:hanging="360"/>
      </w:pPr>
      <w:rPr>
        <w:rFonts w:cs="Times New Roman"/>
      </w:rPr>
    </w:lvl>
    <w:lvl w:ilvl="5" w:tplc="D768409C" w:tentative="1">
      <w:start w:val="1"/>
      <w:numFmt w:val="lowerRoman"/>
      <w:lvlText w:val="%6."/>
      <w:lvlJc w:val="right"/>
      <w:pPr>
        <w:ind w:left="4320" w:hanging="180"/>
      </w:pPr>
      <w:rPr>
        <w:rFonts w:cs="Times New Roman"/>
      </w:rPr>
    </w:lvl>
    <w:lvl w:ilvl="6" w:tplc="EA682D0C" w:tentative="1">
      <w:start w:val="1"/>
      <w:numFmt w:val="decimal"/>
      <w:lvlText w:val="%7."/>
      <w:lvlJc w:val="left"/>
      <w:pPr>
        <w:ind w:left="5040" w:hanging="360"/>
      </w:pPr>
      <w:rPr>
        <w:rFonts w:cs="Times New Roman"/>
      </w:rPr>
    </w:lvl>
    <w:lvl w:ilvl="7" w:tplc="ABB00840" w:tentative="1">
      <w:start w:val="1"/>
      <w:numFmt w:val="lowerLetter"/>
      <w:lvlText w:val="%8."/>
      <w:lvlJc w:val="left"/>
      <w:pPr>
        <w:ind w:left="5760" w:hanging="360"/>
      </w:pPr>
      <w:rPr>
        <w:rFonts w:cs="Times New Roman"/>
      </w:rPr>
    </w:lvl>
    <w:lvl w:ilvl="8" w:tplc="01B01524" w:tentative="1">
      <w:start w:val="1"/>
      <w:numFmt w:val="lowerRoman"/>
      <w:lvlText w:val="%9."/>
      <w:lvlJc w:val="right"/>
      <w:pPr>
        <w:ind w:left="6480" w:hanging="180"/>
      </w:pPr>
      <w:rPr>
        <w:rFonts w:cs="Times New Roman"/>
      </w:rPr>
    </w:lvl>
  </w:abstractNum>
  <w:abstractNum w:abstractNumId="2" w15:restartNumberingAfterBreak="0">
    <w:nsid w:val="04BA048B"/>
    <w:multiLevelType w:val="hybridMultilevel"/>
    <w:tmpl w:val="9470F8A4"/>
    <w:lvl w:ilvl="0" w:tplc="5844C0DA">
      <w:start w:val="3"/>
      <w:numFmt w:val="bullet"/>
      <w:lvlText w:val="-"/>
      <w:lvlJc w:val="left"/>
      <w:pPr>
        <w:ind w:left="720" w:hanging="360"/>
      </w:pPr>
      <w:rPr>
        <w:rFonts w:ascii="TT369195o00" w:eastAsia="Times New Roman" w:hAnsi="TT369195o00" w:hint="default"/>
      </w:rPr>
    </w:lvl>
    <w:lvl w:ilvl="1" w:tplc="F252BA5A" w:tentative="1">
      <w:start w:val="1"/>
      <w:numFmt w:val="bullet"/>
      <w:lvlText w:val="o"/>
      <w:lvlJc w:val="left"/>
      <w:pPr>
        <w:ind w:left="1440" w:hanging="360"/>
      </w:pPr>
      <w:rPr>
        <w:rFonts w:ascii="Courier New" w:hAnsi="Courier New" w:hint="default"/>
      </w:rPr>
    </w:lvl>
    <w:lvl w:ilvl="2" w:tplc="C1DEE64A" w:tentative="1">
      <w:start w:val="1"/>
      <w:numFmt w:val="bullet"/>
      <w:lvlText w:val=""/>
      <w:lvlJc w:val="left"/>
      <w:pPr>
        <w:ind w:left="2160" w:hanging="360"/>
      </w:pPr>
      <w:rPr>
        <w:rFonts w:ascii="Wingdings" w:hAnsi="Wingdings" w:hint="default"/>
      </w:rPr>
    </w:lvl>
    <w:lvl w:ilvl="3" w:tplc="3236A556" w:tentative="1">
      <w:start w:val="1"/>
      <w:numFmt w:val="bullet"/>
      <w:lvlText w:val=""/>
      <w:lvlJc w:val="left"/>
      <w:pPr>
        <w:ind w:left="2880" w:hanging="360"/>
      </w:pPr>
      <w:rPr>
        <w:rFonts w:ascii="Symbol" w:hAnsi="Symbol" w:hint="default"/>
      </w:rPr>
    </w:lvl>
    <w:lvl w:ilvl="4" w:tplc="71D8FD76" w:tentative="1">
      <w:start w:val="1"/>
      <w:numFmt w:val="bullet"/>
      <w:lvlText w:val="o"/>
      <w:lvlJc w:val="left"/>
      <w:pPr>
        <w:ind w:left="3600" w:hanging="360"/>
      </w:pPr>
      <w:rPr>
        <w:rFonts w:ascii="Courier New" w:hAnsi="Courier New" w:hint="default"/>
      </w:rPr>
    </w:lvl>
    <w:lvl w:ilvl="5" w:tplc="28DCC264" w:tentative="1">
      <w:start w:val="1"/>
      <w:numFmt w:val="bullet"/>
      <w:lvlText w:val=""/>
      <w:lvlJc w:val="left"/>
      <w:pPr>
        <w:ind w:left="4320" w:hanging="360"/>
      </w:pPr>
      <w:rPr>
        <w:rFonts w:ascii="Wingdings" w:hAnsi="Wingdings" w:hint="default"/>
      </w:rPr>
    </w:lvl>
    <w:lvl w:ilvl="6" w:tplc="1DFA4D8C" w:tentative="1">
      <w:start w:val="1"/>
      <w:numFmt w:val="bullet"/>
      <w:lvlText w:val=""/>
      <w:lvlJc w:val="left"/>
      <w:pPr>
        <w:ind w:left="5040" w:hanging="360"/>
      </w:pPr>
      <w:rPr>
        <w:rFonts w:ascii="Symbol" w:hAnsi="Symbol" w:hint="default"/>
      </w:rPr>
    </w:lvl>
    <w:lvl w:ilvl="7" w:tplc="5742D65E" w:tentative="1">
      <w:start w:val="1"/>
      <w:numFmt w:val="bullet"/>
      <w:lvlText w:val="o"/>
      <w:lvlJc w:val="left"/>
      <w:pPr>
        <w:ind w:left="5760" w:hanging="360"/>
      </w:pPr>
      <w:rPr>
        <w:rFonts w:ascii="Courier New" w:hAnsi="Courier New" w:hint="default"/>
      </w:rPr>
    </w:lvl>
    <w:lvl w:ilvl="8" w:tplc="770A2666" w:tentative="1">
      <w:start w:val="1"/>
      <w:numFmt w:val="bullet"/>
      <w:lvlText w:val=""/>
      <w:lvlJc w:val="left"/>
      <w:pPr>
        <w:ind w:left="6480" w:hanging="360"/>
      </w:pPr>
      <w:rPr>
        <w:rFonts w:ascii="Wingdings" w:hAnsi="Wingdings" w:hint="default"/>
      </w:rPr>
    </w:lvl>
  </w:abstractNum>
  <w:abstractNum w:abstractNumId="3" w15:restartNumberingAfterBreak="0">
    <w:nsid w:val="0E197906"/>
    <w:multiLevelType w:val="hybridMultilevel"/>
    <w:tmpl w:val="76FC0DE8"/>
    <w:lvl w:ilvl="0" w:tplc="78EC570E">
      <w:start w:val="27"/>
      <w:numFmt w:val="bullet"/>
      <w:lvlText w:val=""/>
      <w:lvlJc w:val="left"/>
      <w:pPr>
        <w:ind w:left="720" w:hanging="360"/>
      </w:pPr>
      <w:rPr>
        <w:rFonts w:ascii="Symbol" w:eastAsia="Times New Roman" w:hAnsi="Symbol" w:hint="default"/>
      </w:rPr>
    </w:lvl>
    <w:lvl w:ilvl="1" w:tplc="12A479C8" w:tentative="1">
      <w:start w:val="1"/>
      <w:numFmt w:val="bullet"/>
      <w:lvlText w:val="o"/>
      <w:lvlJc w:val="left"/>
      <w:pPr>
        <w:ind w:left="1440" w:hanging="360"/>
      </w:pPr>
      <w:rPr>
        <w:rFonts w:ascii="Courier New" w:hAnsi="Courier New" w:hint="default"/>
      </w:rPr>
    </w:lvl>
    <w:lvl w:ilvl="2" w:tplc="7E0CFA84" w:tentative="1">
      <w:start w:val="1"/>
      <w:numFmt w:val="bullet"/>
      <w:lvlText w:val=""/>
      <w:lvlJc w:val="left"/>
      <w:pPr>
        <w:ind w:left="2160" w:hanging="360"/>
      </w:pPr>
      <w:rPr>
        <w:rFonts w:ascii="Wingdings" w:hAnsi="Wingdings" w:hint="default"/>
      </w:rPr>
    </w:lvl>
    <w:lvl w:ilvl="3" w:tplc="45BA7470" w:tentative="1">
      <w:start w:val="1"/>
      <w:numFmt w:val="bullet"/>
      <w:lvlText w:val=""/>
      <w:lvlJc w:val="left"/>
      <w:pPr>
        <w:ind w:left="2880" w:hanging="360"/>
      </w:pPr>
      <w:rPr>
        <w:rFonts w:ascii="Symbol" w:hAnsi="Symbol" w:hint="default"/>
      </w:rPr>
    </w:lvl>
    <w:lvl w:ilvl="4" w:tplc="73260EA0" w:tentative="1">
      <w:start w:val="1"/>
      <w:numFmt w:val="bullet"/>
      <w:lvlText w:val="o"/>
      <w:lvlJc w:val="left"/>
      <w:pPr>
        <w:ind w:left="3600" w:hanging="360"/>
      </w:pPr>
      <w:rPr>
        <w:rFonts w:ascii="Courier New" w:hAnsi="Courier New" w:hint="default"/>
      </w:rPr>
    </w:lvl>
    <w:lvl w:ilvl="5" w:tplc="6C568436" w:tentative="1">
      <w:start w:val="1"/>
      <w:numFmt w:val="bullet"/>
      <w:lvlText w:val=""/>
      <w:lvlJc w:val="left"/>
      <w:pPr>
        <w:ind w:left="4320" w:hanging="360"/>
      </w:pPr>
      <w:rPr>
        <w:rFonts w:ascii="Wingdings" w:hAnsi="Wingdings" w:hint="default"/>
      </w:rPr>
    </w:lvl>
    <w:lvl w:ilvl="6" w:tplc="6A4098A0" w:tentative="1">
      <w:start w:val="1"/>
      <w:numFmt w:val="bullet"/>
      <w:lvlText w:val=""/>
      <w:lvlJc w:val="left"/>
      <w:pPr>
        <w:ind w:left="5040" w:hanging="360"/>
      </w:pPr>
      <w:rPr>
        <w:rFonts w:ascii="Symbol" w:hAnsi="Symbol" w:hint="default"/>
      </w:rPr>
    </w:lvl>
    <w:lvl w:ilvl="7" w:tplc="983C9F82" w:tentative="1">
      <w:start w:val="1"/>
      <w:numFmt w:val="bullet"/>
      <w:lvlText w:val="o"/>
      <w:lvlJc w:val="left"/>
      <w:pPr>
        <w:ind w:left="5760" w:hanging="360"/>
      </w:pPr>
      <w:rPr>
        <w:rFonts w:ascii="Courier New" w:hAnsi="Courier New" w:hint="default"/>
      </w:rPr>
    </w:lvl>
    <w:lvl w:ilvl="8" w:tplc="C79C203E" w:tentative="1">
      <w:start w:val="1"/>
      <w:numFmt w:val="bullet"/>
      <w:lvlText w:val=""/>
      <w:lvlJc w:val="left"/>
      <w:pPr>
        <w:ind w:left="6480" w:hanging="360"/>
      </w:pPr>
      <w:rPr>
        <w:rFonts w:ascii="Wingdings" w:hAnsi="Wingdings" w:hint="default"/>
      </w:rPr>
    </w:lvl>
  </w:abstractNum>
  <w:abstractNum w:abstractNumId="4" w15:restartNumberingAfterBreak="0">
    <w:nsid w:val="0EC83881"/>
    <w:multiLevelType w:val="hybridMultilevel"/>
    <w:tmpl w:val="02EC95CA"/>
    <w:lvl w:ilvl="0" w:tplc="38A20D4C">
      <w:start w:val="1"/>
      <w:numFmt w:val="decimal"/>
      <w:lvlText w:val="%1."/>
      <w:lvlJc w:val="left"/>
      <w:pPr>
        <w:ind w:left="1080" w:hanging="360"/>
      </w:pPr>
      <w:rPr>
        <w:rFonts w:cs="Times New Roman" w:hint="default"/>
        <w:sz w:val="24"/>
      </w:rPr>
    </w:lvl>
    <w:lvl w:ilvl="1" w:tplc="5D76E6F2" w:tentative="1">
      <w:start w:val="1"/>
      <w:numFmt w:val="lowerLetter"/>
      <w:lvlText w:val="%2."/>
      <w:lvlJc w:val="left"/>
      <w:pPr>
        <w:ind w:left="1800" w:hanging="360"/>
      </w:pPr>
      <w:rPr>
        <w:rFonts w:cs="Times New Roman"/>
      </w:rPr>
    </w:lvl>
    <w:lvl w:ilvl="2" w:tplc="66E01278" w:tentative="1">
      <w:start w:val="1"/>
      <w:numFmt w:val="lowerRoman"/>
      <w:lvlText w:val="%3."/>
      <w:lvlJc w:val="right"/>
      <w:pPr>
        <w:ind w:left="2520" w:hanging="180"/>
      </w:pPr>
      <w:rPr>
        <w:rFonts w:cs="Times New Roman"/>
      </w:rPr>
    </w:lvl>
    <w:lvl w:ilvl="3" w:tplc="FB7453DE" w:tentative="1">
      <w:start w:val="1"/>
      <w:numFmt w:val="decimal"/>
      <w:lvlText w:val="%4."/>
      <w:lvlJc w:val="left"/>
      <w:pPr>
        <w:ind w:left="3240" w:hanging="360"/>
      </w:pPr>
      <w:rPr>
        <w:rFonts w:cs="Times New Roman"/>
      </w:rPr>
    </w:lvl>
    <w:lvl w:ilvl="4" w:tplc="D97C2214" w:tentative="1">
      <w:start w:val="1"/>
      <w:numFmt w:val="lowerLetter"/>
      <w:lvlText w:val="%5."/>
      <w:lvlJc w:val="left"/>
      <w:pPr>
        <w:ind w:left="3960" w:hanging="360"/>
      </w:pPr>
      <w:rPr>
        <w:rFonts w:cs="Times New Roman"/>
      </w:rPr>
    </w:lvl>
    <w:lvl w:ilvl="5" w:tplc="9DE6E732" w:tentative="1">
      <w:start w:val="1"/>
      <w:numFmt w:val="lowerRoman"/>
      <w:lvlText w:val="%6."/>
      <w:lvlJc w:val="right"/>
      <w:pPr>
        <w:ind w:left="4680" w:hanging="180"/>
      </w:pPr>
      <w:rPr>
        <w:rFonts w:cs="Times New Roman"/>
      </w:rPr>
    </w:lvl>
    <w:lvl w:ilvl="6" w:tplc="1F5A08CA" w:tentative="1">
      <w:start w:val="1"/>
      <w:numFmt w:val="decimal"/>
      <w:lvlText w:val="%7."/>
      <w:lvlJc w:val="left"/>
      <w:pPr>
        <w:ind w:left="5400" w:hanging="360"/>
      </w:pPr>
      <w:rPr>
        <w:rFonts w:cs="Times New Roman"/>
      </w:rPr>
    </w:lvl>
    <w:lvl w:ilvl="7" w:tplc="9C749F46" w:tentative="1">
      <w:start w:val="1"/>
      <w:numFmt w:val="lowerLetter"/>
      <w:lvlText w:val="%8."/>
      <w:lvlJc w:val="left"/>
      <w:pPr>
        <w:ind w:left="6120" w:hanging="360"/>
      </w:pPr>
      <w:rPr>
        <w:rFonts w:cs="Times New Roman"/>
      </w:rPr>
    </w:lvl>
    <w:lvl w:ilvl="8" w:tplc="C1E03A70" w:tentative="1">
      <w:start w:val="1"/>
      <w:numFmt w:val="lowerRoman"/>
      <w:lvlText w:val="%9."/>
      <w:lvlJc w:val="right"/>
      <w:pPr>
        <w:ind w:left="6840" w:hanging="180"/>
      </w:pPr>
      <w:rPr>
        <w:rFonts w:cs="Times New Roman"/>
      </w:rPr>
    </w:lvl>
  </w:abstractNum>
  <w:abstractNum w:abstractNumId="5" w15:restartNumberingAfterBreak="0">
    <w:nsid w:val="0FC36579"/>
    <w:multiLevelType w:val="hybridMultilevel"/>
    <w:tmpl w:val="9A9A9F9A"/>
    <w:lvl w:ilvl="0" w:tplc="D9ECC64A">
      <w:start w:val="6"/>
      <w:numFmt w:val="decimal"/>
      <w:lvlText w:val="%1"/>
      <w:lvlJc w:val="left"/>
      <w:pPr>
        <w:ind w:left="720" w:hanging="360"/>
      </w:pPr>
      <w:rPr>
        <w:rFonts w:cs="Times New Roman" w:hint="default"/>
      </w:rPr>
    </w:lvl>
    <w:lvl w:ilvl="1" w:tplc="C106BEE6" w:tentative="1">
      <w:start w:val="1"/>
      <w:numFmt w:val="lowerLetter"/>
      <w:lvlText w:val="%2."/>
      <w:lvlJc w:val="left"/>
      <w:pPr>
        <w:ind w:left="1440" w:hanging="360"/>
      </w:pPr>
      <w:rPr>
        <w:rFonts w:cs="Times New Roman"/>
      </w:rPr>
    </w:lvl>
    <w:lvl w:ilvl="2" w:tplc="367C96F0" w:tentative="1">
      <w:start w:val="1"/>
      <w:numFmt w:val="lowerRoman"/>
      <w:lvlText w:val="%3."/>
      <w:lvlJc w:val="right"/>
      <w:pPr>
        <w:ind w:left="2160" w:hanging="180"/>
      </w:pPr>
      <w:rPr>
        <w:rFonts w:cs="Times New Roman"/>
      </w:rPr>
    </w:lvl>
    <w:lvl w:ilvl="3" w:tplc="E9D2C830" w:tentative="1">
      <w:start w:val="1"/>
      <w:numFmt w:val="decimal"/>
      <w:lvlText w:val="%4."/>
      <w:lvlJc w:val="left"/>
      <w:pPr>
        <w:ind w:left="2880" w:hanging="360"/>
      </w:pPr>
      <w:rPr>
        <w:rFonts w:cs="Times New Roman"/>
      </w:rPr>
    </w:lvl>
    <w:lvl w:ilvl="4" w:tplc="8BBAF986" w:tentative="1">
      <w:start w:val="1"/>
      <w:numFmt w:val="lowerLetter"/>
      <w:lvlText w:val="%5."/>
      <w:lvlJc w:val="left"/>
      <w:pPr>
        <w:ind w:left="3600" w:hanging="360"/>
      </w:pPr>
      <w:rPr>
        <w:rFonts w:cs="Times New Roman"/>
      </w:rPr>
    </w:lvl>
    <w:lvl w:ilvl="5" w:tplc="5344DE16" w:tentative="1">
      <w:start w:val="1"/>
      <w:numFmt w:val="lowerRoman"/>
      <w:lvlText w:val="%6."/>
      <w:lvlJc w:val="right"/>
      <w:pPr>
        <w:ind w:left="4320" w:hanging="180"/>
      </w:pPr>
      <w:rPr>
        <w:rFonts w:cs="Times New Roman"/>
      </w:rPr>
    </w:lvl>
    <w:lvl w:ilvl="6" w:tplc="857ED6DE" w:tentative="1">
      <w:start w:val="1"/>
      <w:numFmt w:val="decimal"/>
      <w:lvlText w:val="%7."/>
      <w:lvlJc w:val="left"/>
      <w:pPr>
        <w:ind w:left="5040" w:hanging="360"/>
      </w:pPr>
      <w:rPr>
        <w:rFonts w:cs="Times New Roman"/>
      </w:rPr>
    </w:lvl>
    <w:lvl w:ilvl="7" w:tplc="BE30D308" w:tentative="1">
      <w:start w:val="1"/>
      <w:numFmt w:val="lowerLetter"/>
      <w:lvlText w:val="%8."/>
      <w:lvlJc w:val="left"/>
      <w:pPr>
        <w:ind w:left="5760" w:hanging="360"/>
      </w:pPr>
      <w:rPr>
        <w:rFonts w:cs="Times New Roman"/>
      </w:rPr>
    </w:lvl>
    <w:lvl w:ilvl="8" w:tplc="594AF33C" w:tentative="1">
      <w:start w:val="1"/>
      <w:numFmt w:val="lowerRoman"/>
      <w:lvlText w:val="%9."/>
      <w:lvlJc w:val="right"/>
      <w:pPr>
        <w:ind w:left="6480" w:hanging="180"/>
      </w:pPr>
      <w:rPr>
        <w:rFonts w:cs="Times New Roman"/>
      </w:rPr>
    </w:lvl>
  </w:abstractNum>
  <w:abstractNum w:abstractNumId="6" w15:restartNumberingAfterBreak="0">
    <w:nsid w:val="13A14B74"/>
    <w:multiLevelType w:val="hybridMultilevel"/>
    <w:tmpl w:val="0090E514"/>
    <w:lvl w:ilvl="0" w:tplc="96D4EBDE">
      <w:start w:val="1"/>
      <w:numFmt w:val="bullet"/>
      <w:lvlText w:val=""/>
      <w:lvlJc w:val="left"/>
      <w:pPr>
        <w:ind w:left="502" w:hanging="360"/>
      </w:pPr>
      <w:rPr>
        <w:rFonts w:ascii="Symbol" w:hAnsi="Symbol" w:hint="default"/>
      </w:rPr>
    </w:lvl>
    <w:lvl w:ilvl="1" w:tplc="6BE8453A" w:tentative="1">
      <w:start w:val="1"/>
      <w:numFmt w:val="bullet"/>
      <w:lvlText w:val="o"/>
      <w:lvlJc w:val="left"/>
      <w:pPr>
        <w:ind w:left="1222" w:hanging="360"/>
      </w:pPr>
      <w:rPr>
        <w:rFonts w:ascii="Courier New" w:hAnsi="Courier New" w:hint="default"/>
      </w:rPr>
    </w:lvl>
    <w:lvl w:ilvl="2" w:tplc="1640E21E" w:tentative="1">
      <w:start w:val="1"/>
      <w:numFmt w:val="bullet"/>
      <w:lvlText w:val=""/>
      <w:lvlJc w:val="left"/>
      <w:pPr>
        <w:ind w:left="1942" w:hanging="360"/>
      </w:pPr>
      <w:rPr>
        <w:rFonts w:ascii="Wingdings" w:hAnsi="Wingdings" w:hint="default"/>
      </w:rPr>
    </w:lvl>
    <w:lvl w:ilvl="3" w:tplc="4D1812B0" w:tentative="1">
      <w:start w:val="1"/>
      <w:numFmt w:val="bullet"/>
      <w:lvlText w:val=""/>
      <w:lvlJc w:val="left"/>
      <w:pPr>
        <w:ind w:left="2662" w:hanging="360"/>
      </w:pPr>
      <w:rPr>
        <w:rFonts w:ascii="Symbol" w:hAnsi="Symbol" w:hint="default"/>
      </w:rPr>
    </w:lvl>
    <w:lvl w:ilvl="4" w:tplc="58C023B8" w:tentative="1">
      <w:start w:val="1"/>
      <w:numFmt w:val="bullet"/>
      <w:lvlText w:val="o"/>
      <w:lvlJc w:val="left"/>
      <w:pPr>
        <w:ind w:left="3382" w:hanging="360"/>
      </w:pPr>
      <w:rPr>
        <w:rFonts w:ascii="Courier New" w:hAnsi="Courier New" w:hint="default"/>
      </w:rPr>
    </w:lvl>
    <w:lvl w:ilvl="5" w:tplc="B2A6373A" w:tentative="1">
      <w:start w:val="1"/>
      <w:numFmt w:val="bullet"/>
      <w:lvlText w:val=""/>
      <w:lvlJc w:val="left"/>
      <w:pPr>
        <w:ind w:left="4102" w:hanging="360"/>
      </w:pPr>
      <w:rPr>
        <w:rFonts w:ascii="Wingdings" w:hAnsi="Wingdings" w:hint="default"/>
      </w:rPr>
    </w:lvl>
    <w:lvl w:ilvl="6" w:tplc="36F60176" w:tentative="1">
      <w:start w:val="1"/>
      <w:numFmt w:val="bullet"/>
      <w:lvlText w:val=""/>
      <w:lvlJc w:val="left"/>
      <w:pPr>
        <w:ind w:left="4822" w:hanging="360"/>
      </w:pPr>
      <w:rPr>
        <w:rFonts w:ascii="Symbol" w:hAnsi="Symbol" w:hint="default"/>
      </w:rPr>
    </w:lvl>
    <w:lvl w:ilvl="7" w:tplc="522CC0EA" w:tentative="1">
      <w:start w:val="1"/>
      <w:numFmt w:val="bullet"/>
      <w:lvlText w:val="o"/>
      <w:lvlJc w:val="left"/>
      <w:pPr>
        <w:ind w:left="5542" w:hanging="360"/>
      </w:pPr>
      <w:rPr>
        <w:rFonts w:ascii="Courier New" w:hAnsi="Courier New" w:hint="default"/>
      </w:rPr>
    </w:lvl>
    <w:lvl w:ilvl="8" w:tplc="6F1029D0" w:tentative="1">
      <w:start w:val="1"/>
      <w:numFmt w:val="bullet"/>
      <w:lvlText w:val=""/>
      <w:lvlJc w:val="left"/>
      <w:pPr>
        <w:ind w:left="6262" w:hanging="360"/>
      </w:pPr>
      <w:rPr>
        <w:rFonts w:ascii="Wingdings" w:hAnsi="Wingdings" w:hint="default"/>
      </w:rPr>
    </w:lvl>
  </w:abstractNum>
  <w:abstractNum w:abstractNumId="7" w15:restartNumberingAfterBreak="0">
    <w:nsid w:val="167962E6"/>
    <w:multiLevelType w:val="hybridMultilevel"/>
    <w:tmpl w:val="7D9099BA"/>
    <w:lvl w:ilvl="0" w:tplc="4C58261E">
      <w:start w:val="1"/>
      <w:numFmt w:val="bullet"/>
      <w:lvlText w:val=""/>
      <w:lvlJc w:val="left"/>
      <w:pPr>
        <w:ind w:left="1080" w:hanging="360"/>
      </w:pPr>
      <w:rPr>
        <w:rFonts w:ascii="Symbol" w:hAnsi="Symbol" w:hint="default"/>
      </w:rPr>
    </w:lvl>
    <w:lvl w:ilvl="1" w:tplc="B5CE20EE" w:tentative="1">
      <w:start w:val="1"/>
      <w:numFmt w:val="bullet"/>
      <w:lvlText w:val="o"/>
      <w:lvlJc w:val="left"/>
      <w:pPr>
        <w:ind w:left="1800" w:hanging="360"/>
      </w:pPr>
      <w:rPr>
        <w:rFonts w:ascii="Courier New" w:hAnsi="Courier New" w:hint="default"/>
      </w:rPr>
    </w:lvl>
    <w:lvl w:ilvl="2" w:tplc="B2AC25AA" w:tentative="1">
      <w:start w:val="1"/>
      <w:numFmt w:val="bullet"/>
      <w:lvlText w:val=""/>
      <w:lvlJc w:val="left"/>
      <w:pPr>
        <w:ind w:left="2520" w:hanging="360"/>
      </w:pPr>
      <w:rPr>
        <w:rFonts w:ascii="Wingdings" w:hAnsi="Wingdings" w:hint="default"/>
      </w:rPr>
    </w:lvl>
    <w:lvl w:ilvl="3" w:tplc="61B26216" w:tentative="1">
      <w:start w:val="1"/>
      <w:numFmt w:val="bullet"/>
      <w:lvlText w:val=""/>
      <w:lvlJc w:val="left"/>
      <w:pPr>
        <w:ind w:left="3240" w:hanging="360"/>
      </w:pPr>
      <w:rPr>
        <w:rFonts w:ascii="Symbol" w:hAnsi="Symbol" w:hint="default"/>
      </w:rPr>
    </w:lvl>
    <w:lvl w:ilvl="4" w:tplc="3F7248DA" w:tentative="1">
      <w:start w:val="1"/>
      <w:numFmt w:val="bullet"/>
      <w:lvlText w:val="o"/>
      <w:lvlJc w:val="left"/>
      <w:pPr>
        <w:ind w:left="3960" w:hanging="360"/>
      </w:pPr>
      <w:rPr>
        <w:rFonts w:ascii="Courier New" w:hAnsi="Courier New" w:hint="default"/>
      </w:rPr>
    </w:lvl>
    <w:lvl w:ilvl="5" w:tplc="5748D6F6" w:tentative="1">
      <w:start w:val="1"/>
      <w:numFmt w:val="bullet"/>
      <w:lvlText w:val=""/>
      <w:lvlJc w:val="left"/>
      <w:pPr>
        <w:ind w:left="4680" w:hanging="360"/>
      </w:pPr>
      <w:rPr>
        <w:rFonts w:ascii="Wingdings" w:hAnsi="Wingdings" w:hint="default"/>
      </w:rPr>
    </w:lvl>
    <w:lvl w:ilvl="6" w:tplc="32181634" w:tentative="1">
      <w:start w:val="1"/>
      <w:numFmt w:val="bullet"/>
      <w:lvlText w:val=""/>
      <w:lvlJc w:val="left"/>
      <w:pPr>
        <w:ind w:left="5400" w:hanging="360"/>
      </w:pPr>
      <w:rPr>
        <w:rFonts w:ascii="Symbol" w:hAnsi="Symbol" w:hint="default"/>
      </w:rPr>
    </w:lvl>
    <w:lvl w:ilvl="7" w:tplc="22D82EDA" w:tentative="1">
      <w:start w:val="1"/>
      <w:numFmt w:val="bullet"/>
      <w:lvlText w:val="o"/>
      <w:lvlJc w:val="left"/>
      <w:pPr>
        <w:ind w:left="6120" w:hanging="360"/>
      </w:pPr>
      <w:rPr>
        <w:rFonts w:ascii="Courier New" w:hAnsi="Courier New" w:hint="default"/>
      </w:rPr>
    </w:lvl>
    <w:lvl w:ilvl="8" w:tplc="CCF0A2CA" w:tentative="1">
      <w:start w:val="1"/>
      <w:numFmt w:val="bullet"/>
      <w:lvlText w:val=""/>
      <w:lvlJc w:val="left"/>
      <w:pPr>
        <w:ind w:left="6840" w:hanging="360"/>
      </w:pPr>
      <w:rPr>
        <w:rFonts w:ascii="Wingdings" w:hAnsi="Wingdings" w:hint="default"/>
      </w:rPr>
    </w:lvl>
  </w:abstractNum>
  <w:abstractNum w:abstractNumId="8" w15:restartNumberingAfterBreak="0">
    <w:nsid w:val="1B0E0C01"/>
    <w:multiLevelType w:val="hybridMultilevel"/>
    <w:tmpl w:val="C3C2686A"/>
    <w:lvl w:ilvl="0" w:tplc="356CF5F4">
      <w:start w:val="27"/>
      <w:numFmt w:val="bullet"/>
      <w:lvlText w:val=""/>
      <w:lvlJc w:val="left"/>
      <w:pPr>
        <w:ind w:left="720" w:hanging="360"/>
      </w:pPr>
      <w:rPr>
        <w:rFonts w:ascii="Symbol" w:eastAsia="Times New Roman" w:hAnsi="Symbol" w:hint="default"/>
      </w:rPr>
    </w:lvl>
    <w:lvl w:ilvl="1" w:tplc="35B27218" w:tentative="1">
      <w:start w:val="1"/>
      <w:numFmt w:val="bullet"/>
      <w:lvlText w:val="o"/>
      <w:lvlJc w:val="left"/>
      <w:pPr>
        <w:ind w:left="1440" w:hanging="360"/>
      </w:pPr>
      <w:rPr>
        <w:rFonts w:ascii="Courier New" w:hAnsi="Courier New" w:hint="default"/>
      </w:rPr>
    </w:lvl>
    <w:lvl w:ilvl="2" w:tplc="9DF2F6C4" w:tentative="1">
      <w:start w:val="1"/>
      <w:numFmt w:val="bullet"/>
      <w:lvlText w:val=""/>
      <w:lvlJc w:val="left"/>
      <w:pPr>
        <w:ind w:left="2160" w:hanging="360"/>
      </w:pPr>
      <w:rPr>
        <w:rFonts w:ascii="Wingdings" w:hAnsi="Wingdings" w:hint="default"/>
      </w:rPr>
    </w:lvl>
    <w:lvl w:ilvl="3" w:tplc="5AEA2DB2" w:tentative="1">
      <w:start w:val="1"/>
      <w:numFmt w:val="bullet"/>
      <w:lvlText w:val=""/>
      <w:lvlJc w:val="left"/>
      <w:pPr>
        <w:ind w:left="2880" w:hanging="360"/>
      </w:pPr>
      <w:rPr>
        <w:rFonts w:ascii="Symbol" w:hAnsi="Symbol" w:hint="default"/>
      </w:rPr>
    </w:lvl>
    <w:lvl w:ilvl="4" w:tplc="6E02DD2C" w:tentative="1">
      <w:start w:val="1"/>
      <w:numFmt w:val="bullet"/>
      <w:lvlText w:val="o"/>
      <w:lvlJc w:val="left"/>
      <w:pPr>
        <w:ind w:left="3600" w:hanging="360"/>
      </w:pPr>
      <w:rPr>
        <w:rFonts w:ascii="Courier New" w:hAnsi="Courier New" w:hint="default"/>
      </w:rPr>
    </w:lvl>
    <w:lvl w:ilvl="5" w:tplc="922E90F8" w:tentative="1">
      <w:start w:val="1"/>
      <w:numFmt w:val="bullet"/>
      <w:lvlText w:val=""/>
      <w:lvlJc w:val="left"/>
      <w:pPr>
        <w:ind w:left="4320" w:hanging="360"/>
      </w:pPr>
      <w:rPr>
        <w:rFonts w:ascii="Wingdings" w:hAnsi="Wingdings" w:hint="default"/>
      </w:rPr>
    </w:lvl>
    <w:lvl w:ilvl="6" w:tplc="11D213F8" w:tentative="1">
      <w:start w:val="1"/>
      <w:numFmt w:val="bullet"/>
      <w:lvlText w:val=""/>
      <w:lvlJc w:val="left"/>
      <w:pPr>
        <w:ind w:left="5040" w:hanging="360"/>
      </w:pPr>
      <w:rPr>
        <w:rFonts w:ascii="Symbol" w:hAnsi="Symbol" w:hint="default"/>
      </w:rPr>
    </w:lvl>
    <w:lvl w:ilvl="7" w:tplc="8E5A9D7E" w:tentative="1">
      <w:start w:val="1"/>
      <w:numFmt w:val="bullet"/>
      <w:lvlText w:val="o"/>
      <w:lvlJc w:val="left"/>
      <w:pPr>
        <w:ind w:left="5760" w:hanging="360"/>
      </w:pPr>
      <w:rPr>
        <w:rFonts w:ascii="Courier New" w:hAnsi="Courier New" w:hint="default"/>
      </w:rPr>
    </w:lvl>
    <w:lvl w:ilvl="8" w:tplc="57E66442" w:tentative="1">
      <w:start w:val="1"/>
      <w:numFmt w:val="bullet"/>
      <w:lvlText w:val=""/>
      <w:lvlJc w:val="left"/>
      <w:pPr>
        <w:ind w:left="6480" w:hanging="360"/>
      </w:pPr>
      <w:rPr>
        <w:rFonts w:ascii="Wingdings" w:hAnsi="Wingdings" w:hint="default"/>
      </w:rPr>
    </w:lvl>
  </w:abstractNum>
  <w:abstractNum w:abstractNumId="9" w15:restartNumberingAfterBreak="0">
    <w:nsid w:val="1C884339"/>
    <w:multiLevelType w:val="hybridMultilevel"/>
    <w:tmpl w:val="4C20D44E"/>
    <w:lvl w:ilvl="0" w:tplc="CD4C8984">
      <w:numFmt w:val="bullet"/>
      <w:lvlText w:val="·"/>
      <w:lvlJc w:val="left"/>
      <w:pPr>
        <w:ind w:left="1080" w:hanging="360"/>
      </w:pPr>
      <w:rPr>
        <w:rFonts w:ascii="Arial" w:eastAsia="Times New Roman" w:hAnsi="Arial" w:hint="default"/>
      </w:rPr>
    </w:lvl>
    <w:lvl w:ilvl="1" w:tplc="2EF6EDE0" w:tentative="1">
      <w:start w:val="1"/>
      <w:numFmt w:val="bullet"/>
      <w:lvlText w:val="o"/>
      <w:lvlJc w:val="left"/>
      <w:pPr>
        <w:ind w:left="1800" w:hanging="360"/>
      </w:pPr>
      <w:rPr>
        <w:rFonts w:ascii="Courier New" w:hAnsi="Courier New" w:hint="default"/>
      </w:rPr>
    </w:lvl>
    <w:lvl w:ilvl="2" w:tplc="515CC772" w:tentative="1">
      <w:start w:val="1"/>
      <w:numFmt w:val="bullet"/>
      <w:lvlText w:val=""/>
      <w:lvlJc w:val="left"/>
      <w:pPr>
        <w:ind w:left="2520" w:hanging="360"/>
      </w:pPr>
      <w:rPr>
        <w:rFonts w:ascii="Wingdings" w:hAnsi="Wingdings" w:hint="default"/>
      </w:rPr>
    </w:lvl>
    <w:lvl w:ilvl="3" w:tplc="0C5C9B12" w:tentative="1">
      <w:start w:val="1"/>
      <w:numFmt w:val="bullet"/>
      <w:lvlText w:val=""/>
      <w:lvlJc w:val="left"/>
      <w:pPr>
        <w:ind w:left="3240" w:hanging="360"/>
      </w:pPr>
      <w:rPr>
        <w:rFonts w:ascii="Symbol" w:hAnsi="Symbol" w:hint="default"/>
      </w:rPr>
    </w:lvl>
    <w:lvl w:ilvl="4" w:tplc="7C4CD1A0" w:tentative="1">
      <w:start w:val="1"/>
      <w:numFmt w:val="bullet"/>
      <w:lvlText w:val="o"/>
      <w:lvlJc w:val="left"/>
      <w:pPr>
        <w:ind w:left="3960" w:hanging="360"/>
      </w:pPr>
      <w:rPr>
        <w:rFonts w:ascii="Courier New" w:hAnsi="Courier New" w:hint="default"/>
      </w:rPr>
    </w:lvl>
    <w:lvl w:ilvl="5" w:tplc="6658A5CE" w:tentative="1">
      <w:start w:val="1"/>
      <w:numFmt w:val="bullet"/>
      <w:lvlText w:val=""/>
      <w:lvlJc w:val="left"/>
      <w:pPr>
        <w:ind w:left="4680" w:hanging="360"/>
      </w:pPr>
      <w:rPr>
        <w:rFonts w:ascii="Wingdings" w:hAnsi="Wingdings" w:hint="default"/>
      </w:rPr>
    </w:lvl>
    <w:lvl w:ilvl="6" w:tplc="54DE1D84" w:tentative="1">
      <w:start w:val="1"/>
      <w:numFmt w:val="bullet"/>
      <w:lvlText w:val=""/>
      <w:lvlJc w:val="left"/>
      <w:pPr>
        <w:ind w:left="5400" w:hanging="360"/>
      </w:pPr>
      <w:rPr>
        <w:rFonts w:ascii="Symbol" w:hAnsi="Symbol" w:hint="default"/>
      </w:rPr>
    </w:lvl>
    <w:lvl w:ilvl="7" w:tplc="D8C0FE5A" w:tentative="1">
      <w:start w:val="1"/>
      <w:numFmt w:val="bullet"/>
      <w:lvlText w:val="o"/>
      <w:lvlJc w:val="left"/>
      <w:pPr>
        <w:ind w:left="6120" w:hanging="360"/>
      </w:pPr>
      <w:rPr>
        <w:rFonts w:ascii="Courier New" w:hAnsi="Courier New" w:hint="default"/>
      </w:rPr>
    </w:lvl>
    <w:lvl w:ilvl="8" w:tplc="635E6B34" w:tentative="1">
      <w:start w:val="1"/>
      <w:numFmt w:val="bullet"/>
      <w:lvlText w:val=""/>
      <w:lvlJc w:val="left"/>
      <w:pPr>
        <w:ind w:left="6840" w:hanging="360"/>
      </w:pPr>
      <w:rPr>
        <w:rFonts w:ascii="Wingdings" w:hAnsi="Wingdings" w:hint="default"/>
      </w:rPr>
    </w:lvl>
  </w:abstractNum>
  <w:abstractNum w:abstractNumId="10" w15:restartNumberingAfterBreak="0">
    <w:nsid w:val="1CF65178"/>
    <w:multiLevelType w:val="hybridMultilevel"/>
    <w:tmpl w:val="5FA6D0BA"/>
    <w:lvl w:ilvl="0" w:tplc="A4EC9916">
      <w:start w:val="1"/>
      <w:numFmt w:val="bullet"/>
      <w:lvlText w:val=""/>
      <w:lvlJc w:val="left"/>
      <w:pPr>
        <w:ind w:left="720" w:hanging="360"/>
      </w:pPr>
      <w:rPr>
        <w:rFonts w:ascii="Symbol" w:hAnsi="Symbol" w:hint="default"/>
      </w:rPr>
    </w:lvl>
    <w:lvl w:ilvl="1" w:tplc="76E47312" w:tentative="1">
      <w:start w:val="1"/>
      <w:numFmt w:val="bullet"/>
      <w:lvlText w:val="o"/>
      <w:lvlJc w:val="left"/>
      <w:pPr>
        <w:ind w:left="1440" w:hanging="360"/>
      </w:pPr>
      <w:rPr>
        <w:rFonts w:ascii="Courier New" w:hAnsi="Courier New" w:hint="default"/>
      </w:rPr>
    </w:lvl>
    <w:lvl w:ilvl="2" w:tplc="08A86380" w:tentative="1">
      <w:start w:val="1"/>
      <w:numFmt w:val="bullet"/>
      <w:lvlText w:val=""/>
      <w:lvlJc w:val="left"/>
      <w:pPr>
        <w:ind w:left="2160" w:hanging="360"/>
      </w:pPr>
      <w:rPr>
        <w:rFonts w:ascii="Wingdings" w:hAnsi="Wingdings" w:hint="default"/>
      </w:rPr>
    </w:lvl>
    <w:lvl w:ilvl="3" w:tplc="913ACFC8" w:tentative="1">
      <w:start w:val="1"/>
      <w:numFmt w:val="bullet"/>
      <w:lvlText w:val=""/>
      <w:lvlJc w:val="left"/>
      <w:pPr>
        <w:ind w:left="2880" w:hanging="360"/>
      </w:pPr>
      <w:rPr>
        <w:rFonts w:ascii="Symbol" w:hAnsi="Symbol" w:hint="default"/>
      </w:rPr>
    </w:lvl>
    <w:lvl w:ilvl="4" w:tplc="CE4E2238" w:tentative="1">
      <w:start w:val="1"/>
      <w:numFmt w:val="bullet"/>
      <w:lvlText w:val="o"/>
      <w:lvlJc w:val="left"/>
      <w:pPr>
        <w:ind w:left="3600" w:hanging="360"/>
      </w:pPr>
      <w:rPr>
        <w:rFonts w:ascii="Courier New" w:hAnsi="Courier New" w:hint="default"/>
      </w:rPr>
    </w:lvl>
    <w:lvl w:ilvl="5" w:tplc="18723FD0" w:tentative="1">
      <w:start w:val="1"/>
      <w:numFmt w:val="bullet"/>
      <w:lvlText w:val=""/>
      <w:lvlJc w:val="left"/>
      <w:pPr>
        <w:ind w:left="4320" w:hanging="360"/>
      </w:pPr>
      <w:rPr>
        <w:rFonts w:ascii="Wingdings" w:hAnsi="Wingdings" w:hint="default"/>
      </w:rPr>
    </w:lvl>
    <w:lvl w:ilvl="6" w:tplc="7DD01EB2" w:tentative="1">
      <w:start w:val="1"/>
      <w:numFmt w:val="bullet"/>
      <w:lvlText w:val=""/>
      <w:lvlJc w:val="left"/>
      <w:pPr>
        <w:ind w:left="5040" w:hanging="360"/>
      </w:pPr>
      <w:rPr>
        <w:rFonts w:ascii="Symbol" w:hAnsi="Symbol" w:hint="default"/>
      </w:rPr>
    </w:lvl>
    <w:lvl w:ilvl="7" w:tplc="FDD44CB8" w:tentative="1">
      <w:start w:val="1"/>
      <w:numFmt w:val="bullet"/>
      <w:lvlText w:val="o"/>
      <w:lvlJc w:val="left"/>
      <w:pPr>
        <w:ind w:left="5760" w:hanging="360"/>
      </w:pPr>
      <w:rPr>
        <w:rFonts w:ascii="Courier New" w:hAnsi="Courier New" w:hint="default"/>
      </w:rPr>
    </w:lvl>
    <w:lvl w:ilvl="8" w:tplc="98B2489E" w:tentative="1">
      <w:start w:val="1"/>
      <w:numFmt w:val="bullet"/>
      <w:lvlText w:val=""/>
      <w:lvlJc w:val="left"/>
      <w:pPr>
        <w:ind w:left="6480" w:hanging="360"/>
      </w:pPr>
      <w:rPr>
        <w:rFonts w:ascii="Wingdings" w:hAnsi="Wingdings" w:hint="default"/>
      </w:rPr>
    </w:lvl>
  </w:abstractNum>
  <w:abstractNum w:abstractNumId="11" w15:restartNumberingAfterBreak="0">
    <w:nsid w:val="2B7603C9"/>
    <w:multiLevelType w:val="hybridMultilevel"/>
    <w:tmpl w:val="E13404D6"/>
    <w:lvl w:ilvl="0" w:tplc="C1A0D188">
      <w:start w:val="1"/>
      <w:numFmt w:val="decimal"/>
      <w:lvlText w:val="%1."/>
      <w:lvlJc w:val="left"/>
      <w:pPr>
        <w:ind w:left="644" w:hanging="360"/>
      </w:pPr>
      <w:rPr>
        <w:rFonts w:cs="Times New Roman"/>
      </w:rPr>
    </w:lvl>
    <w:lvl w:ilvl="1" w:tplc="D312EEC0" w:tentative="1">
      <w:start w:val="1"/>
      <w:numFmt w:val="lowerLetter"/>
      <w:lvlText w:val="%2."/>
      <w:lvlJc w:val="left"/>
      <w:pPr>
        <w:ind w:left="1364" w:hanging="360"/>
      </w:pPr>
      <w:rPr>
        <w:rFonts w:cs="Times New Roman"/>
      </w:rPr>
    </w:lvl>
    <w:lvl w:ilvl="2" w:tplc="C756C7E6" w:tentative="1">
      <w:start w:val="1"/>
      <w:numFmt w:val="lowerRoman"/>
      <w:lvlText w:val="%3."/>
      <w:lvlJc w:val="right"/>
      <w:pPr>
        <w:ind w:left="2084" w:hanging="180"/>
      </w:pPr>
      <w:rPr>
        <w:rFonts w:cs="Times New Roman"/>
      </w:rPr>
    </w:lvl>
    <w:lvl w:ilvl="3" w:tplc="6E3ECBBA" w:tentative="1">
      <w:start w:val="1"/>
      <w:numFmt w:val="decimal"/>
      <w:lvlText w:val="%4."/>
      <w:lvlJc w:val="left"/>
      <w:pPr>
        <w:ind w:left="2804" w:hanging="360"/>
      </w:pPr>
      <w:rPr>
        <w:rFonts w:cs="Times New Roman"/>
      </w:rPr>
    </w:lvl>
    <w:lvl w:ilvl="4" w:tplc="17427C98" w:tentative="1">
      <w:start w:val="1"/>
      <w:numFmt w:val="lowerLetter"/>
      <w:lvlText w:val="%5."/>
      <w:lvlJc w:val="left"/>
      <w:pPr>
        <w:ind w:left="3524" w:hanging="360"/>
      </w:pPr>
      <w:rPr>
        <w:rFonts w:cs="Times New Roman"/>
      </w:rPr>
    </w:lvl>
    <w:lvl w:ilvl="5" w:tplc="3C0053D2" w:tentative="1">
      <w:start w:val="1"/>
      <w:numFmt w:val="lowerRoman"/>
      <w:lvlText w:val="%6."/>
      <w:lvlJc w:val="right"/>
      <w:pPr>
        <w:ind w:left="4244" w:hanging="180"/>
      </w:pPr>
      <w:rPr>
        <w:rFonts w:cs="Times New Roman"/>
      </w:rPr>
    </w:lvl>
    <w:lvl w:ilvl="6" w:tplc="17F80464" w:tentative="1">
      <w:start w:val="1"/>
      <w:numFmt w:val="decimal"/>
      <w:lvlText w:val="%7."/>
      <w:lvlJc w:val="left"/>
      <w:pPr>
        <w:ind w:left="4964" w:hanging="360"/>
      </w:pPr>
      <w:rPr>
        <w:rFonts w:cs="Times New Roman"/>
      </w:rPr>
    </w:lvl>
    <w:lvl w:ilvl="7" w:tplc="C5D06A16" w:tentative="1">
      <w:start w:val="1"/>
      <w:numFmt w:val="lowerLetter"/>
      <w:lvlText w:val="%8."/>
      <w:lvlJc w:val="left"/>
      <w:pPr>
        <w:ind w:left="5684" w:hanging="360"/>
      </w:pPr>
      <w:rPr>
        <w:rFonts w:cs="Times New Roman"/>
      </w:rPr>
    </w:lvl>
    <w:lvl w:ilvl="8" w:tplc="3BF48C8E" w:tentative="1">
      <w:start w:val="1"/>
      <w:numFmt w:val="lowerRoman"/>
      <w:lvlText w:val="%9."/>
      <w:lvlJc w:val="right"/>
      <w:pPr>
        <w:ind w:left="6404" w:hanging="180"/>
      </w:pPr>
      <w:rPr>
        <w:rFonts w:cs="Times New Roman"/>
      </w:rPr>
    </w:lvl>
  </w:abstractNum>
  <w:abstractNum w:abstractNumId="12" w15:restartNumberingAfterBreak="0">
    <w:nsid w:val="2E0418DF"/>
    <w:multiLevelType w:val="hybridMultilevel"/>
    <w:tmpl w:val="9EDE53C0"/>
    <w:lvl w:ilvl="0" w:tplc="305EEFEC">
      <w:start w:val="4"/>
      <w:numFmt w:val="decimal"/>
      <w:lvlText w:val="%1"/>
      <w:lvlJc w:val="left"/>
      <w:pPr>
        <w:ind w:left="720" w:hanging="360"/>
      </w:pPr>
      <w:rPr>
        <w:rFonts w:cs="Times New Roman" w:hint="default"/>
      </w:rPr>
    </w:lvl>
    <w:lvl w:ilvl="1" w:tplc="B9E41378" w:tentative="1">
      <w:start w:val="1"/>
      <w:numFmt w:val="lowerLetter"/>
      <w:lvlText w:val="%2."/>
      <w:lvlJc w:val="left"/>
      <w:pPr>
        <w:ind w:left="1440" w:hanging="360"/>
      </w:pPr>
      <w:rPr>
        <w:rFonts w:cs="Times New Roman"/>
      </w:rPr>
    </w:lvl>
    <w:lvl w:ilvl="2" w:tplc="3DBCD8F0" w:tentative="1">
      <w:start w:val="1"/>
      <w:numFmt w:val="lowerRoman"/>
      <w:lvlText w:val="%3."/>
      <w:lvlJc w:val="right"/>
      <w:pPr>
        <w:ind w:left="2160" w:hanging="180"/>
      </w:pPr>
      <w:rPr>
        <w:rFonts w:cs="Times New Roman"/>
      </w:rPr>
    </w:lvl>
    <w:lvl w:ilvl="3" w:tplc="2F5A12C8" w:tentative="1">
      <w:start w:val="1"/>
      <w:numFmt w:val="decimal"/>
      <w:lvlText w:val="%4."/>
      <w:lvlJc w:val="left"/>
      <w:pPr>
        <w:ind w:left="2880" w:hanging="360"/>
      </w:pPr>
      <w:rPr>
        <w:rFonts w:cs="Times New Roman"/>
      </w:rPr>
    </w:lvl>
    <w:lvl w:ilvl="4" w:tplc="EFC894D4" w:tentative="1">
      <w:start w:val="1"/>
      <w:numFmt w:val="lowerLetter"/>
      <w:lvlText w:val="%5."/>
      <w:lvlJc w:val="left"/>
      <w:pPr>
        <w:ind w:left="3600" w:hanging="360"/>
      </w:pPr>
      <w:rPr>
        <w:rFonts w:cs="Times New Roman"/>
      </w:rPr>
    </w:lvl>
    <w:lvl w:ilvl="5" w:tplc="1E948B5E" w:tentative="1">
      <w:start w:val="1"/>
      <w:numFmt w:val="lowerRoman"/>
      <w:lvlText w:val="%6."/>
      <w:lvlJc w:val="right"/>
      <w:pPr>
        <w:ind w:left="4320" w:hanging="180"/>
      </w:pPr>
      <w:rPr>
        <w:rFonts w:cs="Times New Roman"/>
      </w:rPr>
    </w:lvl>
    <w:lvl w:ilvl="6" w:tplc="14543E94" w:tentative="1">
      <w:start w:val="1"/>
      <w:numFmt w:val="decimal"/>
      <w:lvlText w:val="%7."/>
      <w:lvlJc w:val="left"/>
      <w:pPr>
        <w:ind w:left="5040" w:hanging="360"/>
      </w:pPr>
      <w:rPr>
        <w:rFonts w:cs="Times New Roman"/>
      </w:rPr>
    </w:lvl>
    <w:lvl w:ilvl="7" w:tplc="3FB0B4A0" w:tentative="1">
      <w:start w:val="1"/>
      <w:numFmt w:val="lowerLetter"/>
      <w:lvlText w:val="%8."/>
      <w:lvlJc w:val="left"/>
      <w:pPr>
        <w:ind w:left="5760" w:hanging="360"/>
      </w:pPr>
      <w:rPr>
        <w:rFonts w:cs="Times New Roman"/>
      </w:rPr>
    </w:lvl>
    <w:lvl w:ilvl="8" w:tplc="0486FBCA" w:tentative="1">
      <w:start w:val="1"/>
      <w:numFmt w:val="lowerRoman"/>
      <w:lvlText w:val="%9."/>
      <w:lvlJc w:val="right"/>
      <w:pPr>
        <w:ind w:left="6480" w:hanging="180"/>
      </w:pPr>
      <w:rPr>
        <w:rFonts w:cs="Times New Roman"/>
      </w:rPr>
    </w:lvl>
  </w:abstractNum>
  <w:abstractNum w:abstractNumId="13" w15:restartNumberingAfterBreak="0">
    <w:nsid w:val="30724E37"/>
    <w:multiLevelType w:val="hybridMultilevel"/>
    <w:tmpl w:val="A2DC8116"/>
    <w:lvl w:ilvl="0" w:tplc="46C2D0A8">
      <w:start w:val="6"/>
      <w:numFmt w:val="decimal"/>
      <w:lvlText w:val="%1."/>
      <w:lvlJc w:val="left"/>
      <w:pPr>
        <w:ind w:left="720" w:hanging="360"/>
      </w:pPr>
      <w:rPr>
        <w:rFonts w:hint="default"/>
      </w:rPr>
    </w:lvl>
    <w:lvl w:ilvl="1" w:tplc="5A444C3C" w:tentative="1">
      <w:start w:val="1"/>
      <w:numFmt w:val="lowerLetter"/>
      <w:lvlText w:val="%2."/>
      <w:lvlJc w:val="left"/>
      <w:pPr>
        <w:ind w:left="1440" w:hanging="360"/>
      </w:pPr>
    </w:lvl>
    <w:lvl w:ilvl="2" w:tplc="1A101E96" w:tentative="1">
      <w:start w:val="1"/>
      <w:numFmt w:val="lowerRoman"/>
      <w:lvlText w:val="%3."/>
      <w:lvlJc w:val="right"/>
      <w:pPr>
        <w:ind w:left="2160" w:hanging="180"/>
      </w:pPr>
    </w:lvl>
    <w:lvl w:ilvl="3" w:tplc="BC2086D6" w:tentative="1">
      <w:start w:val="1"/>
      <w:numFmt w:val="decimal"/>
      <w:lvlText w:val="%4."/>
      <w:lvlJc w:val="left"/>
      <w:pPr>
        <w:ind w:left="2880" w:hanging="360"/>
      </w:pPr>
    </w:lvl>
    <w:lvl w:ilvl="4" w:tplc="6A92E2E0" w:tentative="1">
      <w:start w:val="1"/>
      <w:numFmt w:val="lowerLetter"/>
      <w:lvlText w:val="%5."/>
      <w:lvlJc w:val="left"/>
      <w:pPr>
        <w:ind w:left="3600" w:hanging="360"/>
      </w:pPr>
    </w:lvl>
    <w:lvl w:ilvl="5" w:tplc="5340364C" w:tentative="1">
      <w:start w:val="1"/>
      <w:numFmt w:val="lowerRoman"/>
      <w:lvlText w:val="%6."/>
      <w:lvlJc w:val="right"/>
      <w:pPr>
        <w:ind w:left="4320" w:hanging="180"/>
      </w:pPr>
    </w:lvl>
    <w:lvl w:ilvl="6" w:tplc="77BCC74A" w:tentative="1">
      <w:start w:val="1"/>
      <w:numFmt w:val="decimal"/>
      <w:lvlText w:val="%7."/>
      <w:lvlJc w:val="left"/>
      <w:pPr>
        <w:ind w:left="5040" w:hanging="360"/>
      </w:pPr>
    </w:lvl>
    <w:lvl w:ilvl="7" w:tplc="F8EE89F0" w:tentative="1">
      <w:start w:val="1"/>
      <w:numFmt w:val="lowerLetter"/>
      <w:lvlText w:val="%8."/>
      <w:lvlJc w:val="left"/>
      <w:pPr>
        <w:ind w:left="5760" w:hanging="360"/>
      </w:pPr>
    </w:lvl>
    <w:lvl w:ilvl="8" w:tplc="5936EDAA" w:tentative="1">
      <w:start w:val="1"/>
      <w:numFmt w:val="lowerRoman"/>
      <w:lvlText w:val="%9."/>
      <w:lvlJc w:val="right"/>
      <w:pPr>
        <w:ind w:left="6480" w:hanging="180"/>
      </w:pPr>
    </w:lvl>
  </w:abstractNum>
  <w:abstractNum w:abstractNumId="14" w15:restartNumberingAfterBreak="0">
    <w:nsid w:val="3A02101D"/>
    <w:multiLevelType w:val="hybridMultilevel"/>
    <w:tmpl w:val="61DE1D66"/>
    <w:lvl w:ilvl="0" w:tplc="6F22CD68">
      <w:start w:val="1"/>
      <w:numFmt w:val="decimal"/>
      <w:lvlText w:val="%1."/>
      <w:lvlJc w:val="left"/>
      <w:pPr>
        <w:ind w:left="720" w:hanging="360"/>
      </w:pPr>
      <w:rPr>
        <w:rFonts w:cs="Times New Roman" w:hint="default"/>
      </w:rPr>
    </w:lvl>
    <w:lvl w:ilvl="1" w:tplc="A51A7F84" w:tentative="1">
      <w:start w:val="1"/>
      <w:numFmt w:val="lowerLetter"/>
      <w:lvlText w:val="%2."/>
      <w:lvlJc w:val="left"/>
      <w:pPr>
        <w:ind w:left="1440" w:hanging="360"/>
      </w:pPr>
      <w:rPr>
        <w:rFonts w:cs="Times New Roman"/>
      </w:rPr>
    </w:lvl>
    <w:lvl w:ilvl="2" w:tplc="5DE8FCAC" w:tentative="1">
      <w:start w:val="1"/>
      <w:numFmt w:val="lowerRoman"/>
      <w:lvlText w:val="%3."/>
      <w:lvlJc w:val="right"/>
      <w:pPr>
        <w:ind w:left="2160" w:hanging="180"/>
      </w:pPr>
      <w:rPr>
        <w:rFonts w:cs="Times New Roman"/>
      </w:rPr>
    </w:lvl>
    <w:lvl w:ilvl="3" w:tplc="F5A2EC1E" w:tentative="1">
      <w:start w:val="1"/>
      <w:numFmt w:val="decimal"/>
      <w:lvlText w:val="%4."/>
      <w:lvlJc w:val="left"/>
      <w:pPr>
        <w:ind w:left="2880" w:hanging="360"/>
      </w:pPr>
      <w:rPr>
        <w:rFonts w:cs="Times New Roman"/>
      </w:rPr>
    </w:lvl>
    <w:lvl w:ilvl="4" w:tplc="D6121FD0" w:tentative="1">
      <w:start w:val="1"/>
      <w:numFmt w:val="lowerLetter"/>
      <w:lvlText w:val="%5."/>
      <w:lvlJc w:val="left"/>
      <w:pPr>
        <w:ind w:left="3600" w:hanging="360"/>
      </w:pPr>
      <w:rPr>
        <w:rFonts w:cs="Times New Roman"/>
      </w:rPr>
    </w:lvl>
    <w:lvl w:ilvl="5" w:tplc="D9460E30" w:tentative="1">
      <w:start w:val="1"/>
      <w:numFmt w:val="lowerRoman"/>
      <w:lvlText w:val="%6."/>
      <w:lvlJc w:val="right"/>
      <w:pPr>
        <w:ind w:left="4320" w:hanging="180"/>
      </w:pPr>
      <w:rPr>
        <w:rFonts w:cs="Times New Roman"/>
      </w:rPr>
    </w:lvl>
    <w:lvl w:ilvl="6" w:tplc="B75AA94E" w:tentative="1">
      <w:start w:val="1"/>
      <w:numFmt w:val="decimal"/>
      <w:lvlText w:val="%7."/>
      <w:lvlJc w:val="left"/>
      <w:pPr>
        <w:ind w:left="5040" w:hanging="360"/>
      </w:pPr>
      <w:rPr>
        <w:rFonts w:cs="Times New Roman"/>
      </w:rPr>
    </w:lvl>
    <w:lvl w:ilvl="7" w:tplc="95C88D8C" w:tentative="1">
      <w:start w:val="1"/>
      <w:numFmt w:val="lowerLetter"/>
      <w:lvlText w:val="%8."/>
      <w:lvlJc w:val="left"/>
      <w:pPr>
        <w:ind w:left="5760" w:hanging="360"/>
      </w:pPr>
      <w:rPr>
        <w:rFonts w:cs="Times New Roman"/>
      </w:rPr>
    </w:lvl>
    <w:lvl w:ilvl="8" w:tplc="AF1C4AB2" w:tentative="1">
      <w:start w:val="1"/>
      <w:numFmt w:val="lowerRoman"/>
      <w:lvlText w:val="%9."/>
      <w:lvlJc w:val="right"/>
      <w:pPr>
        <w:ind w:left="6480" w:hanging="180"/>
      </w:pPr>
      <w:rPr>
        <w:rFonts w:cs="Times New Roman"/>
      </w:rPr>
    </w:lvl>
  </w:abstractNum>
  <w:abstractNum w:abstractNumId="15" w15:restartNumberingAfterBreak="0">
    <w:nsid w:val="3DDF4CAA"/>
    <w:multiLevelType w:val="hybridMultilevel"/>
    <w:tmpl w:val="A1108C2C"/>
    <w:lvl w:ilvl="0" w:tplc="76AAC62A">
      <w:start w:val="5"/>
      <w:numFmt w:val="decimal"/>
      <w:lvlText w:val="%1."/>
      <w:lvlJc w:val="left"/>
      <w:pPr>
        <w:ind w:left="502" w:hanging="360"/>
      </w:pPr>
      <w:rPr>
        <w:rFonts w:cs="Times New Roman" w:hint="default"/>
      </w:rPr>
    </w:lvl>
    <w:lvl w:ilvl="1" w:tplc="E37838BC" w:tentative="1">
      <w:start w:val="1"/>
      <w:numFmt w:val="lowerLetter"/>
      <w:lvlText w:val="%2."/>
      <w:lvlJc w:val="left"/>
      <w:pPr>
        <w:ind w:left="1222" w:hanging="360"/>
      </w:pPr>
      <w:rPr>
        <w:rFonts w:cs="Times New Roman"/>
      </w:rPr>
    </w:lvl>
    <w:lvl w:ilvl="2" w:tplc="FDEAB9AE" w:tentative="1">
      <w:start w:val="1"/>
      <w:numFmt w:val="lowerRoman"/>
      <w:lvlText w:val="%3."/>
      <w:lvlJc w:val="right"/>
      <w:pPr>
        <w:ind w:left="1942" w:hanging="180"/>
      </w:pPr>
      <w:rPr>
        <w:rFonts w:cs="Times New Roman"/>
      </w:rPr>
    </w:lvl>
    <w:lvl w:ilvl="3" w:tplc="EED056B6" w:tentative="1">
      <w:start w:val="1"/>
      <w:numFmt w:val="decimal"/>
      <w:lvlText w:val="%4."/>
      <w:lvlJc w:val="left"/>
      <w:pPr>
        <w:ind w:left="2662" w:hanging="360"/>
      </w:pPr>
      <w:rPr>
        <w:rFonts w:cs="Times New Roman"/>
      </w:rPr>
    </w:lvl>
    <w:lvl w:ilvl="4" w:tplc="00FAADC0" w:tentative="1">
      <w:start w:val="1"/>
      <w:numFmt w:val="lowerLetter"/>
      <w:lvlText w:val="%5."/>
      <w:lvlJc w:val="left"/>
      <w:pPr>
        <w:ind w:left="3382" w:hanging="360"/>
      </w:pPr>
      <w:rPr>
        <w:rFonts w:cs="Times New Roman"/>
      </w:rPr>
    </w:lvl>
    <w:lvl w:ilvl="5" w:tplc="35186588" w:tentative="1">
      <w:start w:val="1"/>
      <w:numFmt w:val="lowerRoman"/>
      <w:lvlText w:val="%6."/>
      <w:lvlJc w:val="right"/>
      <w:pPr>
        <w:ind w:left="4102" w:hanging="180"/>
      </w:pPr>
      <w:rPr>
        <w:rFonts w:cs="Times New Roman"/>
      </w:rPr>
    </w:lvl>
    <w:lvl w:ilvl="6" w:tplc="90DCE4DC" w:tentative="1">
      <w:start w:val="1"/>
      <w:numFmt w:val="decimal"/>
      <w:lvlText w:val="%7."/>
      <w:lvlJc w:val="left"/>
      <w:pPr>
        <w:ind w:left="4822" w:hanging="360"/>
      </w:pPr>
      <w:rPr>
        <w:rFonts w:cs="Times New Roman"/>
      </w:rPr>
    </w:lvl>
    <w:lvl w:ilvl="7" w:tplc="86E0DCE0" w:tentative="1">
      <w:start w:val="1"/>
      <w:numFmt w:val="lowerLetter"/>
      <w:lvlText w:val="%8."/>
      <w:lvlJc w:val="left"/>
      <w:pPr>
        <w:ind w:left="5542" w:hanging="360"/>
      </w:pPr>
      <w:rPr>
        <w:rFonts w:cs="Times New Roman"/>
      </w:rPr>
    </w:lvl>
    <w:lvl w:ilvl="8" w:tplc="1BF83FA0" w:tentative="1">
      <w:start w:val="1"/>
      <w:numFmt w:val="lowerRoman"/>
      <w:lvlText w:val="%9."/>
      <w:lvlJc w:val="right"/>
      <w:pPr>
        <w:ind w:left="6262" w:hanging="180"/>
      </w:pPr>
      <w:rPr>
        <w:rFonts w:cs="Times New Roman"/>
      </w:rPr>
    </w:lvl>
  </w:abstractNum>
  <w:abstractNum w:abstractNumId="16" w15:restartNumberingAfterBreak="0">
    <w:nsid w:val="44146692"/>
    <w:multiLevelType w:val="hybridMultilevel"/>
    <w:tmpl w:val="6BE23300"/>
    <w:lvl w:ilvl="0" w:tplc="34B8D892">
      <w:start w:val="1"/>
      <w:numFmt w:val="decimal"/>
      <w:lvlText w:val="%1."/>
      <w:lvlJc w:val="left"/>
      <w:pPr>
        <w:tabs>
          <w:tab w:val="num" w:pos="360"/>
        </w:tabs>
        <w:ind w:left="360" w:hanging="360"/>
      </w:pPr>
      <w:rPr>
        <w:rFonts w:cs="Times New Roman"/>
      </w:rPr>
    </w:lvl>
    <w:lvl w:ilvl="1" w:tplc="FB10564E" w:tentative="1">
      <w:start w:val="1"/>
      <w:numFmt w:val="lowerLetter"/>
      <w:lvlText w:val="%2."/>
      <w:lvlJc w:val="left"/>
      <w:pPr>
        <w:tabs>
          <w:tab w:val="num" w:pos="1080"/>
        </w:tabs>
        <w:ind w:left="1080" w:hanging="360"/>
      </w:pPr>
      <w:rPr>
        <w:rFonts w:cs="Times New Roman"/>
      </w:rPr>
    </w:lvl>
    <w:lvl w:ilvl="2" w:tplc="8A520A70" w:tentative="1">
      <w:start w:val="1"/>
      <w:numFmt w:val="lowerRoman"/>
      <w:lvlText w:val="%3."/>
      <w:lvlJc w:val="right"/>
      <w:pPr>
        <w:tabs>
          <w:tab w:val="num" w:pos="1800"/>
        </w:tabs>
        <w:ind w:left="1800" w:hanging="180"/>
      </w:pPr>
      <w:rPr>
        <w:rFonts w:cs="Times New Roman"/>
      </w:rPr>
    </w:lvl>
    <w:lvl w:ilvl="3" w:tplc="B8449A1E" w:tentative="1">
      <w:start w:val="1"/>
      <w:numFmt w:val="decimal"/>
      <w:lvlText w:val="%4."/>
      <w:lvlJc w:val="left"/>
      <w:pPr>
        <w:tabs>
          <w:tab w:val="num" w:pos="2520"/>
        </w:tabs>
        <w:ind w:left="2520" w:hanging="360"/>
      </w:pPr>
      <w:rPr>
        <w:rFonts w:cs="Times New Roman"/>
      </w:rPr>
    </w:lvl>
    <w:lvl w:ilvl="4" w:tplc="15AE28D2" w:tentative="1">
      <w:start w:val="1"/>
      <w:numFmt w:val="lowerLetter"/>
      <w:lvlText w:val="%5."/>
      <w:lvlJc w:val="left"/>
      <w:pPr>
        <w:tabs>
          <w:tab w:val="num" w:pos="3240"/>
        </w:tabs>
        <w:ind w:left="3240" w:hanging="360"/>
      </w:pPr>
      <w:rPr>
        <w:rFonts w:cs="Times New Roman"/>
      </w:rPr>
    </w:lvl>
    <w:lvl w:ilvl="5" w:tplc="4BF41DDA" w:tentative="1">
      <w:start w:val="1"/>
      <w:numFmt w:val="lowerRoman"/>
      <w:lvlText w:val="%6."/>
      <w:lvlJc w:val="right"/>
      <w:pPr>
        <w:tabs>
          <w:tab w:val="num" w:pos="3960"/>
        </w:tabs>
        <w:ind w:left="3960" w:hanging="180"/>
      </w:pPr>
      <w:rPr>
        <w:rFonts w:cs="Times New Roman"/>
      </w:rPr>
    </w:lvl>
    <w:lvl w:ilvl="6" w:tplc="831A1314" w:tentative="1">
      <w:start w:val="1"/>
      <w:numFmt w:val="decimal"/>
      <w:lvlText w:val="%7."/>
      <w:lvlJc w:val="left"/>
      <w:pPr>
        <w:tabs>
          <w:tab w:val="num" w:pos="4680"/>
        </w:tabs>
        <w:ind w:left="4680" w:hanging="360"/>
      </w:pPr>
      <w:rPr>
        <w:rFonts w:cs="Times New Roman"/>
      </w:rPr>
    </w:lvl>
    <w:lvl w:ilvl="7" w:tplc="285A535A" w:tentative="1">
      <w:start w:val="1"/>
      <w:numFmt w:val="lowerLetter"/>
      <w:lvlText w:val="%8."/>
      <w:lvlJc w:val="left"/>
      <w:pPr>
        <w:tabs>
          <w:tab w:val="num" w:pos="5400"/>
        </w:tabs>
        <w:ind w:left="5400" w:hanging="360"/>
      </w:pPr>
      <w:rPr>
        <w:rFonts w:cs="Times New Roman"/>
      </w:rPr>
    </w:lvl>
    <w:lvl w:ilvl="8" w:tplc="1D965904" w:tentative="1">
      <w:start w:val="1"/>
      <w:numFmt w:val="lowerRoman"/>
      <w:lvlText w:val="%9."/>
      <w:lvlJc w:val="right"/>
      <w:pPr>
        <w:tabs>
          <w:tab w:val="num" w:pos="6120"/>
        </w:tabs>
        <w:ind w:left="6120" w:hanging="180"/>
      </w:pPr>
      <w:rPr>
        <w:rFonts w:cs="Times New Roman"/>
      </w:rPr>
    </w:lvl>
  </w:abstractNum>
  <w:abstractNum w:abstractNumId="17" w15:restartNumberingAfterBreak="0">
    <w:nsid w:val="46AD1FF2"/>
    <w:multiLevelType w:val="hybridMultilevel"/>
    <w:tmpl w:val="69706940"/>
    <w:lvl w:ilvl="0" w:tplc="7E8668BC">
      <w:start w:val="1"/>
      <w:numFmt w:val="bullet"/>
      <w:lvlText w:val=""/>
      <w:lvlJc w:val="left"/>
      <w:pPr>
        <w:ind w:left="720" w:hanging="360"/>
      </w:pPr>
      <w:rPr>
        <w:rFonts w:ascii="Symbol" w:hAnsi="Symbol" w:hint="default"/>
      </w:rPr>
    </w:lvl>
    <w:lvl w:ilvl="1" w:tplc="91E48090" w:tentative="1">
      <w:start w:val="1"/>
      <w:numFmt w:val="bullet"/>
      <w:lvlText w:val="o"/>
      <w:lvlJc w:val="left"/>
      <w:pPr>
        <w:ind w:left="1440" w:hanging="360"/>
      </w:pPr>
      <w:rPr>
        <w:rFonts w:ascii="Courier New" w:hAnsi="Courier New" w:hint="default"/>
      </w:rPr>
    </w:lvl>
    <w:lvl w:ilvl="2" w:tplc="8F646168" w:tentative="1">
      <w:start w:val="1"/>
      <w:numFmt w:val="bullet"/>
      <w:lvlText w:val=""/>
      <w:lvlJc w:val="left"/>
      <w:pPr>
        <w:ind w:left="2160" w:hanging="360"/>
      </w:pPr>
      <w:rPr>
        <w:rFonts w:ascii="Wingdings" w:hAnsi="Wingdings" w:hint="default"/>
      </w:rPr>
    </w:lvl>
    <w:lvl w:ilvl="3" w:tplc="6E9A81E8" w:tentative="1">
      <w:start w:val="1"/>
      <w:numFmt w:val="bullet"/>
      <w:lvlText w:val=""/>
      <w:lvlJc w:val="left"/>
      <w:pPr>
        <w:ind w:left="2880" w:hanging="360"/>
      </w:pPr>
      <w:rPr>
        <w:rFonts w:ascii="Symbol" w:hAnsi="Symbol" w:hint="default"/>
      </w:rPr>
    </w:lvl>
    <w:lvl w:ilvl="4" w:tplc="3AE60B1E" w:tentative="1">
      <w:start w:val="1"/>
      <w:numFmt w:val="bullet"/>
      <w:lvlText w:val="o"/>
      <w:lvlJc w:val="left"/>
      <w:pPr>
        <w:ind w:left="3600" w:hanging="360"/>
      </w:pPr>
      <w:rPr>
        <w:rFonts w:ascii="Courier New" w:hAnsi="Courier New" w:hint="default"/>
      </w:rPr>
    </w:lvl>
    <w:lvl w:ilvl="5" w:tplc="DF1AA522" w:tentative="1">
      <w:start w:val="1"/>
      <w:numFmt w:val="bullet"/>
      <w:lvlText w:val=""/>
      <w:lvlJc w:val="left"/>
      <w:pPr>
        <w:ind w:left="4320" w:hanging="360"/>
      </w:pPr>
      <w:rPr>
        <w:rFonts w:ascii="Wingdings" w:hAnsi="Wingdings" w:hint="default"/>
      </w:rPr>
    </w:lvl>
    <w:lvl w:ilvl="6" w:tplc="AA66799E" w:tentative="1">
      <w:start w:val="1"/>
      <w:numFmt w:val="bullet"/>
      <w:lvlText w:val=""/>
      <w:lvlJc w:val="left"/>
      <w:pPr>
        <w:ind w:left="5040" w:hanging="360"/>
      </w:pPr>
      <w:rPr>
        <w:rFonts w:ascii="Symbol" w:hAnsi="Symbol" w:hint="default"/>
      </w:rPr>
    </w:lvl>
    <w:lvl w:ilvl="7" w:tplc="20D4C894" w:tentative="1">
      <w:start w:val="1"/>
      <w:numFmt w:val="bullet"/>
      <w:lvlText w:val="o"/>
      <w:lvlJc w:val="left"/>
      <w:pPr>
        <w:ind w:left="5760" w:hanging="360"/>
      </w:pPr>
      <w:rPr>
        <w:rFonts w:ascii="Courier New" w:hAnsi="Courier New" w:hint="default"/>
      </w:rPr>
    </w:lvl>
    <w:lvl w:ilvl="8" w:tplc="4B322C88" w:tentative="1">
      <w:start w:val="1"/>
      <w:numFmt w:val="bullet"/>
      <w:lvlText w:val=""/>
      <w:lvlJc w:val="left"/>
      <w:pPr>
        <w:ind w:left="6480" w:hanging="360"/>
      </w:pPr>
      <w:rPr>
        <w:rFonts w:ascii="Wingdings" w:hAnsi="Wingdings" w:hint="default"/>
      </w:rPr>
    </w:lvl>
  </w:abstractNum>
  <w:abstractNum w:abstractNumId="18" w15:restartNumberingAfterBreak="0">
    <w:nsid w:val="48B74C67"/>
    <w:multiLevelType w:val="singleLevel"/>
    <w:tmpl w:val="55A8656E"/>
    <w:lvl w:ilvl="0">
      <w:start w:val="1"/>
      <w:numFmt w:val="decimal"/>
      <w:lvlText w:val="%1."/>
      <w:lvlJc w:val="left"/>
      <w:pPr>
        <w:tabs>
          <w:tab w:val="num" w:pos="720"/>
        </w:tabs>
        <w:ind w:left="720" w:hanging="720"/>
      </w:pPr>
      <w:rPr>
        <w:rFonts w:cs="Times New Roman"/>
      </w:rPr>
    </w:lvl>
  </w:abstractNum>
  <w:abstractNum w:abstractNumId="19" w15:restartNumberingAfterBreak="0">
    <w:nsid w:val="494B0899"/>
    <w:multiLevelType w:val="hybridMultilevel"/>
    <w:tmpl w:val="D3702A3A"/>
    <w:lvl w:ilvl="0" w:tplc="A746AE4C">
      <w:numFmt w:val="bullet"/>
      <w:lvlText w:val="-"/>
      <w:lvlJc w:val="left"/>
      <w:pPr>
        <w:tabs>
          <w:tab w:val="num" w:pos="720"/>
        </w:tabs>
        <w:ind w:left="720" w:hanging="360"/>
      </w:pPr>
      <w:rPr>
        <w:rFonts w:ascii="Arial" w:eastAsia="Times New Roman" w:hAnsi="Arial" w:hint="default"/>
      </w:rPr>
    </w:lvl>
    <w:lvl w:ilvl="1" w:tplc="3FA29DEE" w:tentative="1">
      <w:start w:val="1"/>
      <w:numFmt w:val="bullet"/>
      <w:lvlText w:val="o"/>
      <w:lvlJc w:val="left"/>
      <w:pPr>
        <w:tabs>
          <w:tab w:val="num" w:pos="1440"/>
        </w:tabs>
        <w:ind w:left="1440" w:hanging="360"/>
      </w:pPr>
      <w:rPr>
        <w:rFonts w:ascii="Courier New" w:hAnsi="Courier New" w:hint="default"/>
      </w:rPr>
    </w:lvl>
    <w:lvl w:ilvl="2" w:tplc="2B84D178" w:tentative="1">
      <w:start w:val="1"/>
      <w:numFmt w:val="bullet"/>
      <w:lvlText w:val=""/>
      <w:lvlJc w:val="left"/>
      <w:pPr>
        <w:tabs>
          <w:tab w:val="num" w:pos="2160"/>
        </w:tabs>
        <w:ind w:left="2160" w:hanging="360"/>
      </w:pPr>
      <w:rPr>
        <w:rFonts w:ascii="Wingdings" w:hAnsi="Wingdings" w:hint="default"/>
      </w:rPr>
    </w:lvl>
    <w:lvl w:ilvl="3" w:tplc="9800ABF6" w:tentative="1">
      <w:start w:val="1"/>
      <w:numFmt w:val="bullet"/>
      <w:lvlText w:val=""/>
      <w:lvlJc w:val="left"/>
      <w:pPr>
        <w:tabs>
          <w:tab w:val="num" w:pos="2880"/>
        </w:tabs>
        <w:ind w:left="2880" w:hanging="360"/>
      </w:pPr>
      <w:rPr>
        <w:rFonts w:ascii="Symbol" w:hAnsi="Symbol" w:hint="default"/>
      </w:rPr>
    </w:lvl>
    <w:lvl w:ilvl="4" w:tplc="A1165110" w:tentative="1">
      <w:start w:val="1"/>
      <w:numFmt w:val="bullet"/>
      <w:lvlText w:val="o"/>
      <w:lvlJc w:val="left"/>
      <w:pPr>
        <w:tabs>
          <w:tab w:val="num" w:pos="3600"/>
        </w:tabs>
        <w:ind w:left="3600" w:hanging="360"/>
      </w:pPr>
      <w:rPr>
        <w:rFonts w:ascii="Courier New" w:hAnsi="Courier New" w:hint="default"/>
      </w:rPr>
    </w:lvl>
    <w:lvl w:ilvl="5" w:tplc="4E0CA83A" w:tentative="1">
      <w:start w:val="1"/>
      <w:numFmt w:val="bullet"/>
      <w:lvlText w:val=""/>
      <w:lvlJc w:val="left"/>
      <w:pPr>
        <w:tabs>
          <w:tab w:val="num" w:pos="4320"/>
        </w:tabs>
        <w:ind w:left="4320" w:hanging="360"/>
      </w:pPr>
      <w:rPr>
        <w:rFonts w:ascii="Wingdings" w:hAnsi="Wingdings" w:hint="default"/>
      </w:rPr>
    </w:lvl>
    <w:lvl w:ilvl="6" w:tplc="27A09908" w:tentative="1">
      <w:start w:val="1"/>
      <w:numFmt w:val="bullet"/>
      <w:lvlText w:val=""/>
      <w:lvlJc w:val="left"/>
      <w:pPr>
        <w:tabs>
          <w:tab w:val="num" w:pos="5040"/>
        </w:tabs>
        <w:ind w:left="5040" w:hanging="360"/>
      </w:pPr>
      <w:rPr>
        <w:rFonts w:ascii="Symbol" w:hAnsi="Symbol" w:hint="default"/>
      </w:rPr>
    </w:lvl>
    <w:lvl w:ilvl="7" w:tplc="588EB70A" w:tentative="1">
      <w:start w:val="1"/>
      <w:numFmt w:val="bullet"/>
      <w:lvlText w:val="o"/>
      <w:lvlJc w:val="left"/>
      <w:pPr>
        <w:tabs>
          <w:tab w:val="num" w:pos="5760"/>
        </w:tabs>
        <w:ind w:left="5760" w:hanging="360"/>
      </w:pPr>
      <w:rPr>
        <w:rFonts w:ascii="Courier New" w:hAnsi="Courier New" w:hint="default"/>
      </w:rPr>
    </w:lvl>
    <w:lvl w:ilvl="8" w:tplc="AC025F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75FE3"/>
    <w:multiLevelType w:val="hybridMultilevel"/>
    <w:tmpl w:val="C31ECC9C"/>
    <w:lvl w:ilvl="0" w:tplc="B1D4A1FE">
      <w:start w:val="1"/>
      <w:numFmt w:val="decimal"/>
      <w:lvlText w:val="%1."/>
      <w:lvlJc w:val="left"/>
      <w:pPr>
        <w:ind w:left="786" w:hanging="360"/>
      </w:pPr>
      <w:rPr>
        <w:rFonts w:cs="Times New Roman" w:hint="default"/>
        <w:b w:val="0"/>
        <w:sz w:val="20"/>
        <w:szCs w:val="20"/>
      </w:rPr>
    </w:lvl>
    <w:lvl w:ilvl="1" w:tplc="0D76D548" w:tentative="1">
      <w:start w:val="1"/>
      <w:numFmt w:val="lowerLetter"/>
      <w:lvlText w:val="%2."/>
      <w:lvlJc w:val="left"/>
      <w:pPr>
        <w:ind w:left="1364" w:hanging="360"/>
      </w:pPr>
      <w:rPr>
        <w:rFonts w:cs="Times New Roman"/>
      </w:rPr>
    </w:lvl>
    <w:lvl w:ilvl="2" w:tplc="D4B49A98" w:tentative="1">
      <w:start w:val="1"/>
      <w:numFmt w:val="lowerRoman"/>
      <w:lvlText w:val="%3."/>
      <w:lvlJc w:val="right"/>
      <w:pPr>
        <w:ind w:left="2084" w:hanging="180"/>
      </w:pPr>
      <w:rPr>
        <w:rFonts w:cs="Times New Roman"/>
      </w:rPr>
    </w:lvl>
    <w:lvl w:ilvl="3" w:tplc="29AE51F8" w:tentative="1">
      <w:start w:val="1"/>
      <w:numFmt w:val="decimal"/>
      <w:lvlText w:val="%4."/>
      <w:lvlJc w:val="left"/>
      <w:pPr>
        <w:ind w:left="2804" w:hanging="360"/>
      </w:pPr>
      <w:rPr>
        <w:rFonts w:cs="Times New Roman"/>
      </w:rPr>
    </w:lvl>
    <w:lvl w:ilvl="4" w:tplc="106091F0" w:tentative="1">
      <w:start w:val="1"/>
      <w:numFmt w:val="lowerLetter"/>
      <w:lvlText w:val="%5."/>
      <w:lvlJc w:val="left"/>
      <w:pPr>
        <w:ind w:left="3524" w:hanging="360"/>
      </w:pPr>
      <w:rPr>
        <w:rFonts w:cs="Times New Roman"/>
      </w:rPr>
    </w:lvl>
    <w:lvl w:ilvl="5" w:tplc="1C16CA08" w:tentative="1">
      <w:start w:val="1"/>
      <w:numFmt w:val="lowerRoman"/>
      <w:lvlText w:val="%6."/>
      <w:lvlJc w:val="right"/>
      <w:pPr>
        <w:ind w:left="4244" w:hanging="180"/>
      </w:pPr>
      <w:rPr>
        <w:rFonts w:cs="Times New Roman"/>
      </w:rPr>
    </w:lvl>
    <w:lvl w:ilvl="6" w:tplc="368CEE5E" w:tentative="1">
      <w:start w:val="1"/>
      <w:numFmt w:val="decimal"/>
      <w:lvlText w:val="%7."/>
      <w:lvlJc w:val="left"/>
      <w:pPr>
        <w:ind w:left="4964" w:hanging="360"/>
      </w:pPr>
      <w:rPr>
        <w:rFonts w:cs="Times New Roman"/>
      </w:rPr>
    </w:lvl>
    <w:lvl w:ilvl="7" w:tplc="152A3EDA" w:tentative="1">
      <w:start w:val="1"/>
      <w:numFmt w:val="lowerLetter"/>
      <w:lvlText w:val="%8."/>
      <w:lvlJc w:val="left"/>
      <w:pPr>
        <w:ind w:left="5684" w:hanging="360"/>
      </w:pPr>
      <w:rPr>
        <w:rFonts w:cs="Times New Roman"/>
      </w:rPr>
    </w:lvl>
    <w:lvl w:ilvl="8" w:tplc="C5F2804A" w:tentative="1">
      <w:start w:val="1"/>
      <w:numFmt w:val="lowerRoman"/>
      <w:lvlText w:val="%9."/>
      <w:lvlJc w:val="right"/>
      <w:pPr>
        <w:ind w:left="6404" w:hanging="180"/>
      </w:pPr>
      <w:rPr>
        <w:rFonts w:cs="Times New Roman"/>
      </w:rPr>
    </w:lvl>
  </w:abstractNum>
  <w:abstractNum w:abstractNumId="21" w15:restartNumberingAfterBreak="0">
    <w:nsid w:val="559F0CD8"/>
    <w:multiLevelType w:val="hybridMultilevel"/>
    <w:tmpl w:val="BCA22080"/>
    <w:lvl w:ilvl="0" w:tplc="66C02CCE">
      <w:start w:val="1"/>
      <w:numFmt w:val="bullet"/>
      <w:lvlText w:val=""/>
      <w:lvlJc w:val="left"/>
      <w:pPr>
        <w:ind w:left="720" w:hanging="360"/>
      </w:pPr>
      <w:rPr>
        <w:rFonts w:ascii="Symbol" w:hAnsi="Symbol" w:hint="default"/>
      </w:rPr>
    </w:lvl>
    <w:lvl w:ilvl="1" w:tplc="2556DAF4" w:tentative="1">
      <w:start w:val="1"/>
      <w:numFmt w:val="bullet"/>
      <w:lvlText w:val="o"/>
      <w:lvlJc w:val="left"/>
      <w:pPr>
        <w:ind w:left="1440" w:hanging="360"/>
      </w:pPr>
      <w:rPr>
        <w:rFonts w:ascii="Courier New" w:hAnsi="Courier New" w:hint="default"/>
      </w:rPr>
    </w:lvl>
    <w:lvl w:ilvl="2" w:tplc="86B691BE" w:tentative="1">
      <w:start w:val="1"/>
      <w:numFmt w:val="bullet"/>
      <w:lvlText w:val=""/>
      <w:lvlJc w:val="left"/>
      <w:pPr>
        <w:ind w:left="2160" w:hanging="360"/>
      </w:pPr>
      <w:rPr>
        <w:rFonts w:ascii="Wingdings" w:hAnsi="Wingdings" w:hint="default"/>
      </w:rPr>
    </w:lvl>
    <w:lvl w:ilvl="3" w:tplc="9F064E0E" w:tentative="1">
      <w:start w:val="1"/>
      <w:numFmt w:val="bullet"/>
      <w:lvlText w:val=""/>
      <w:lvlJc w:val="left"/>
      <w:pPr>
        <w:ind w:left="2880" w:hanging="360"/>
      </w:pPr>
      <w:rPr>
        <w:rFonts w:ascii="Symbol" w:hAnsi="Symbol" w:hint="default"/>
      </w:rPr>
    </w:lvl>
    <w:lvl w:ilvl="4" w:tplc="CF3A6926" w:tentative="1">
      <w:start w:val="1"/>
      <w:numFmt w:val="bullet"/>
      <w:lvlText w:val="o"/>
      <w:lvlJc w:val="left"/>
      <w:pPr>
        <w:ind w:left="3600" w:hanging="360"/>
      </w:pPr>
      <w:rPr>
        <w:rFonts w:ascii="Courier New" w:hAnsi="Courier New" w:hint="default"/>
      </w:rPr>
    </w:lvl>
    <w:lvl w:ilvl="5" w:tplc="63A0535E" w:tentative="1">
      <w:start w:val="1"/>
      <w:numFmt w:val="bullet"/>
      <w:lvlText w:val=""/>
      <w:lvlJc w:val="left"/>
      <w:pPr>
        <w:ind w:left="4320" w:hanging="360"/>
      </w:pPr>
      <w:rPr>
        <w:rFonts w:ascii="Wingdings" w:hAnsi="Wingdings" w:hint="default"/>
      </w:rPr>
    </w:lvl>
    <w:lvl w:ilvl="6" w:tplc="A8B49A34" w:tentative="1">
      <w:start w:val="1"/>
      <w:numFmt w:val="bullet"/>
      <w:lvlText w:val=""/>
      <w:lvlJc w:val="left"/>
      <w:pPr>
        <w:ind w:left="5040" w:hanging="360"/>
      </w:pPr>
      <w:rPr>
        <w:rFonts w:ascii="Symbol" w:hAnsi="Symbol" w:hint="default"/>
      </w:rPr>
    </w:lvl>
    <w:lvl w:ilvl="7" w:tplc="66A0693E" w:tentative="1">
      <w:start w:val="1"/>
      <w:numFmt w:val="bullet"/>
      <w:lvlText w:val="o"/>
      <w:lvlJc w:val="left"/>
      <w:pPr>
        <w:ind w:left="5760" w:hanging="360"/>
      </w:pPr>
      <w:rPr>
        <w:rFonts w:ascii="Courier New" w:hAnsi="Courier New" w:hint="default"/>
      </w:rPr>
    </w:lvl>
    <w:lvl w:ilvl="8" w:tplc="0A64E8D2" w:tentative="1">
      <w:start w:val="1"/>
      <w:numFmt w:val="bullet"/>
      <w:lvlText w:val=""/>
      <w:lvlJc w:val="left"/>
      <w:pPr>
        <w:ind w:left="6480" w:hanging="360"/>
      </w:pPr>
      <w:rPr>
        <w:rFonts w:ascii="Wingdings" w:hAnsi="Wingdings" w:hint="default"/>
      </w:rPr>
    </w:lvl>
  </w:abstractNum>
  <w:abstractNum w:abstractNumId="22" w15:restartNumberingAfterBreak="0">
    <w:nsid w:val="5D5D705C"/>
    <w:multiLevelType w:val="hybridMultilevel"/>
    <w:tmpl w:val="B4546AE2"/>
    <w:lvl w:ilvl="0" w:tplc="C4DCBFD2">
      <w:start w:val="1"/>
      <w:numFmt w:val="bullet"/>
      <w:lvlText w:val=""/>
      <w:lvlJc w:val="left"/>
      <w:pPr>
        <w:ind w:left="720" w:hanging="360"/>
      </w:pPr>
      <w:rPr>
        <w:rFonts w:ascii="Symbol" w:hAnsi="Symbol" w:hint="default"/>
      </w:rPr>
    </w:lvl>
    <w:lvl w:ilvl="1" w:tplc="7CA8C75A" w:tentative="1">
      <w:start w:val="1"/>
      <w:numFmt w:val="bullet"/>
      <w:lvlText w:val="o"/>
      <w:lvlJc w:val="left"/>
      <w:pPr>
        <w:ind w:left="1440" w:hanging="360"/>
      </w:pPr>
      <w:rPr>
        <w:rFonts w:ascii="Courier New" w:hAnsi="Courier New" w:cs="Courier New" w:hint="default"/>
      </w:rPr>
    </w:lvl>
    <w:lvl w:ilvl="2" w:tplc="7796333E" w:tentative="1">
      <w:start w:val="1"/>
      <w:numFmt w:val="bullet"/>
      <w:lvlText w:val=""/>
      <w:lvlJc w:val="left"/>
      <w:pPr>
        <w:ind w:left="2160" w:hanging="360"/>
      </w:pPr>
      <w:rPr>
        <w:rFonts w:ascii="Wingdings" w:hAnsi="Wingdings" w:hint="default"/>
      </w:rPr>
    </w:lvl>
    <w:lvl w:ilvl="3" w:tplc="5ADE4A74" w:tentative="1">
      <w:start w:val="1"/>
      <w:numFmt w:val="bullet"/>
      <w:lvlText w:val=""/>
      <w:lvlJc w:val="left"/>
      <w:pPr>
        <w:ind w:left="2880" w:hanging="360"/>
      </w:pPr>
      <w:rPr>
        <w:rFonts w:ascii="Symbol" w:hAnsi="Symbol" w:hint="default"/>
      </w:rPr>
    </w:lvl>
    <w:lvl w:ilvl="4" w:tplc="BAA4C960" w:tentative="1">
      <w:start w:val="1"/>
      <w:numFmt w:val="bullet"/>
      <w:lvlText w:val="o"/>
      <w:lvlJc w:val="left"/>
      <w:pPr>
        <w:ind w:left="3600" w:hanging="360"/>
      </w:pPr>
      <w:rPr>
        <w:rFonts w:ascii="Courier New" w:hAnsi="Courier New" w:cs="Courier New" w:hint="default"/>
      </w:rPr>
    </w:lvl>
    <w:lvl w:ilvl="5" w:tplc="E24E7D22" w:tentative="1">
      <w:start w:val="1"/>
      <w:numFmt w:val="bullet"/>
      <w:lvlText w:val=""/>
      <w:lvlJc w:val="left"/>
      <w:pPr>
        <w:ind w:left="4320" w:hanging="360"/>
      </w:pPr>
      <w:rPr>
        <w:rFonts w:ascii="Wingdings" w:hAnsi="Wingdings" w:hint="default"/>
      </w:rPr>
    </w:lvl>
    <w:lvl w:ilvl="6" w:tplc="0DF81D78" w:tentative="1">
      <w:start w:val="1"/>
      <w:numFmt w:val="bullet"/>
      <w:lvlText w:val=""/>
      <w:lvlJc w:val="left"/>
      <w:pPr>
        <w:ind w:left="5040" w:hanging="360"/>
      </w:pPr>
      <w:rPr>
        <w:rFonts w:ascii="Symbol" w:hAnsi="Symbol" w:hint="default"/>
      </w:rPr>
    </w:lvl>
    <w:lvl w:ilvl="7" w:tplc="D520B144" w:tentative="1">
      <w:start w:val="1"/>
      <w:numFmt w:val="bullet"/>
      <w:lvlText w:val="o"/>
      <w:lvlJc w:val="left"/>
      <w:pPr>
        <w:ind w:left="5760" w:hanging="360"/>
      </w:pPr>
      <w:rPr>
        <w:rFonts w:ascii="Courier New" w:hAnsi="Courier New" w:cs="Courier New" w:hint="default"/>
      </w:rPr>
    </w:lvl>
    <w:lvl w:ilvl="8" w:tplc="04A8E964" w:tentative="1">
      <w:start w:val="1"/>
      <w:numFmt w:val="bullet"/>
      <w:lvlText w:val=""/>
      <w:lvlJc w:val="left"/>
      <w:pPr>
        <w:ind w:left="6480" w:hanging="360"/>
      </w:pPr>
      <w:rPr>
        <w:rFonts w:ascii="Wingdings" w:hAnsi="Wingdings" w:hint="default"/>
      </w:rPr>
    </w:lvl>
  </w:abstractNum>
  <w:abstractNum w:abstractNumId="23" w15:restartNumberingAfterBreak="0">
    <w:nsid w:val="60347E1E"/>
    <w:multiLevelType w:val="hybridMultilevel"/>
    <w:tmpl w:val="277E5594"/>
    <w:lvl w:ilvl="0" w:tplc="07B60E66">
      <w:start w:val="1"/>
      <w:numFmt w:val="bullet"/>
      <w:lvlText w:val=""/>
      <w:lvlJc w:val="left"/>
      <w:pPr>
        <w:ind w:left="720" w:hanging="360"/>
      </w:pPr>
      <w:rPr>
        <w:rFonts w:ascii="Symbol" w:hAnsi="Symbol" w:hint="default"/>
      </w:rPr>
    </w:lvl>
    <w:lvl w:ilvl="1" w:tplc="B7EEC642" w:tentative="1">
      <w:start w:val="1"/>
      <w:numFmt w:val="bullet"/>
      <w:lvlText w:val="o"/>
      <w:lvlJc w:val="left"/>
      <w:pPr>
        <w:ind w:left="1440" w:hanging="360"/>
      </w:pPr>
      <w:rPr>
        <w:rFonts w:ascii="Courier New" w:hAnsi="Courier New" w:hint="default"/>
      </w:rPr>
    </w:lvl>
    <w:lvl w:ilvl="2" w:tplc="62CA6E06" w:tentative="1">
      <w:start w:val="1"/>
      <w:numFmt w:val="bullet"/>
      <w:lvlText w:val=""/>
      <w:lvlJc w:val="left"/>
      <w:pPr>
        <w:ind w:left="2160" w:hanging="360"/>
      </w:pPr>
      <w:rPr>
        <w:rFonts w:ascii="Wingdings" w:hAnsi="Wingdings" w:hint="default"/>
      </w:rPr>
    </w:lvl>
    <w:lvl w:ilvl="3" w:tplc="6F72EFFE" w:tentative="1">
      <w:start w:val="1"/>
      <w:numFmt w:val="bullet"/>
      <w:lvlText w:val=""/>
      <w:lvlJc w:val="left"/>
      <w:pPr>
        <w:ind w:left="2880" w:hanging="360"/>
      </w:pPr>
      <w:rPr>
        <w:rFonts w:ascii="Symbol" w:hAnsi="Symbol" w:hint="default"/>
      </w:rPr>
    </w:lvl>
    <w:lvl w:ilvl="4" w:tplc="726C2BBE" w:tentative="1">
      <w:start w:val="1"/>
      <w:numFmt w:val="bullet"/>
      <w:lvlText w:val="o"/>
      <w:lvlJc w:val="left"/>
      <w:pPr>
        <w:ind w:left="3600" w:hanging="360"/>
      </w:pPr>
      <w:rPr>
        <w:rFonts w:ascii="Courier New" w:hAnsi="Courier New" w:hint="default"/>
      </w:rPr>
    </w:lvl>
    <w:lvl w:ilvl="5" w:tplc="6276ABAC" w:tentative="1">
      <w:start w:val="1"/>
      <w:numFmt w:val="bullet"/>
      <w:lvlText w:val=""/>
      <w:lvlJc w:val="left"/>
      <w:pPr>
        <w:ind w:left="4320" w:hanging="360"/>
      </w:pPr>
      <w:rPr>
        <w:rFonts w:ascii="Wingdings" w:hAnsi="Wingdings" w:hint="default"/>
      </w:rPr>
    </w:lvl>
    <w:lvl w:ilvl="6" w:tplc="65B8CA7C" w:tentative="1">
      <w:start w:val="1"/>
      <w:numFmt w:val="bullet"/>
      <w:lvlText w:val=""/>
      <w:lvlJc w:val="left"/>
      <w:pPr>
        <w:ind w:left="5040" w:hanging="360"/>
      </w:pPr>
      <w:rPr>
        <w:rFonts w:ascii="Symbol" w:hAnsi="Symbol" w:hint="default"/>
      </w:rPr>
    </w:lvl>
    <w:lvl w:ilvl="7" w:tplc="B00EA93A" w:tentative="1">
      <w:start w:val="1"/>
      <w:numFmt w:val="bullet"/>
      <w:lvlText w:val="o"/>
      <w:lvlJc w:val="left"/>
      <w:pPr>
        <w:ind w:left="5760" w:hanging="360"/>
      </w:pPr>
      <w:rPr>
        <w:rFonts w:ascii="Courier New" w:hAnsi="Courier New" w:hint="default"/>
      </w:rPr>
    </w:lvl>
    <w:lvl w:ilvl="8" w:tplc="9EA00EF2" w:tentative="1">
      <w:start w:val="1"/>
      <w:numFmt w:val="bullet"/>
      <w:lvlText w:val=""/>
      <w:lvlJc w:val="left"/>
      <w:pPr>
        <w:ind w:left="6480" w:hanging="360"/>
      </w:pPr>
      <w:rPr>
        <w:rFonts w:ascii="Wingdings" w:hAnsi="Wingdings" w:hint="default"/>
      </w:rPr>
    </w:lvl>
  </w:abstractNum>
  <w:abstractNum w:abstractNumId="24" w15:restartNumberingAfterBreak="0">
    <w:nsid w:val="68141E3A"/>
    <w:multiLevelType w:val="hybridMultilevel"/>
    <w:tmpl w:val="0402FA7C"/>
    <w:lvl w:ilvl="0" w:tplc="C33680EE">
      <w:start w:val="1"/>
      <w:numFmt w:val="bullet"/>
      <w:lvlText w:val=""/>
      <w:lvlJc w:val="left"/>
      <w:pPr>
        <w:ind w:left="720" w:hanging="360"/>
      </w:pPr>
      <w:rPr>
        <w:rFonts w:ascii="Symbol" w:hAnsi="Symbol" w:hint="default"/>
      </w:rPr>
    </w:lvl>
    <w:lvl w:ilvl="1" w:tplc="CAD60D88" w:tentative="1">
      <w:start w:val="1"/>
      <w:numFmt w:val="bullet"/>
      <w:lvlText w:val="o"/>
      <w:lvlJc w:val="left"/>
      <w:pPr>
        <w:ind w:left="1440" w:hanging="360"/>
      </w:pPr>
      <w:rPr>
        <w:rFonts w:ascii="Courier New" w:hAnsi="Courier New" w:cs="Courier New" w:hint="default"/>
      </w:rPr>
    </w:lvl>
    <w:lvl w:ilvl="2" w:tplc="66100442" w:tentative="1">
      <w:start w:val="1"/>
      <w:numFmt w:val="bullet"/>
      <w:lvlText w:val=""/>
      <w:lvlJc w:val="left"/>
      <w:pPr>
        <w:ind w:left="2160" w:hanging="360"/>
      </w:pPr>
      <w:rPr>
        <w:rFonts w:ascii="Wingdings" w:hAnsi="Wingdings" w:hint="default"/>
      </w:rPr>
    </w:lvl>
    <w:lvl w:ilvl="3" w:tplc="D5C2FD3A" w:tentative="1">
      <w:start w:val="1"/>
      <w:numFmt w:val="bullet"/>
      <w:lvlText w:val=""/>
      <w:lvlJc w:val="left"/>
      <w:pPr>
        <w:ind w:left="2880" w:hanging="360"/>
      </w:pPr>
      <w:rPr>
        <w:rFonts w:ascii="Symbol" w:hAnsi="Symbol" w:hint="default"/>
      </w:rPr>
    </w:lvl>
    <w:lvl w:ilvl="4" w:tplc="5E066AEC" w:tentative="1">
      <w:start w:val="1"/>
      <w:numFmt w:val="bullet"/>
      <w:lvlText w:val="o"/>
      <w:lvlJc w:val="left"/>
      <w:pPr>
        <w:ind w:left="3600" w:hanging="360"/>
      </w:pPr>
      <w:rPr>
        <w:rFonts w:ascii="Courier New" w:hAnsi="Courier New" w:cs="Courier New" w:hint="default"/>
      </w:rPr>
    </w:lvl>
    <w:lvl w:ilvl="5" w:tplc="79B6A9DE" w:tentative="1">
      <w:start w:val="1"/>
      <w:numFmt w:val="bullet"/>
      <w:lvlText w:val=""/>
      <w:lvlJc w:val="left"/>
      <w:pPr>
        <w:ind w:left="4320" w:hanging="360"/>
      </w:pPr>
      <w:rPr>
        <w:rFonts w:ascii="Wingdings" w:hAnsi="Wingdings" w:hint="default"/>
      </w:rPr>
    </w:lvl>
    <w:lvl w:ilvl="6" w:tplc="20247296" w:tentative="1">
      <w:start w:val="1"/>
      <w:numFmt w:val="bullet"/>
      <w:lvlText w:val=""/>
      <w:lvlJc w:val="left"/>
      <w:pPr>
        <w:ind w:left="5040" w:hanging="360"/>
      </w:pPr>
      <w:rPr>
        <w:rFonts w:ascii="Symbol" w:hAnsi="Symbol" w:hint="default"/>
      </w:rPr>
    </w:lvl>
    <w:lvl w:ilvl="7" w:tplc="6E10B674" w:tentative="1">
      <w:start w:val="1"/>
      <w:numFmt w:val="bullet"/>
      <w:lvlText w:val="o"/>
      <w:lvlJc w:val="left"/>
      <w:pPr>
        <w:ind w:left="5760" w:hanging="360"/>
      </w:pPr>
      <w:rPr>
        <w:rFonts w:ascii="Courier New" w:hAnsi="Courier New" w:cs="Courier New" w:hint="default"/>
      </w:rPr>
    </w:lvl>
    <w:lvl w:ilvl="8" w:tplc="2040B9EA" w:tentative="1">
      <w:start w:val="1"/>
      <w:numFmt w:val="bullet"/>
      <w:lvlText w:val=""/>
      <w:lvlJc w:val="left"/>
      <w:pPr>
        <w:ind w:left="6480" w:hanging="360"/>
      </w:pPr>
      <w:rPr>
        <w:rFonts w:ascii="Wingdings" w:hAnsi="Wingdings" w:hint="default"/>
      </w:rPr>
    </w:lvl>
  </w:abstractNum>
  <w:abstractNum w:abstractNumId="25" w15:restartNumberingAfterBreak="0">
    <w:nsid w:val="68FF3CC4"/>
    <w:multiLevelType w:val="hybridMultilevel"/>
    <w:tmpl w:val="B0D0D240"/>
    <w:lvl w:ilvl="0" w:tplc="140EBB10">
      <w:start w:val="1"/>
      <w:numFmt w:val="decimal"/>
      <w:lvlText w:val="%1."/>
      <w:lvlJc w:val="left"/>
      <w:pPr>
        <w:ind w:left="720" w:hanging="360"/>
      </w:pPr>
      <w:rPr>
        <w:rFonts w:cs="Times New Roman" w:hint="default"/>
      </w:rPr>
    </w:lvl>
    <w:lvl w:ilvl="1" w:tplc="C936B12C" w:tentative="1">
      <w:start w:val="1"/>
      <w:numFmt w:val="lowerLetter"/>
      <w:lvlText w:val="%2."/>
      <w:lvlJc w:val="left"/>
      <w:pPr>
        <w:ind w:left="1440" w:hanging="360"/>
      </w:pPr>
      <w:rPr>
        <w:rFonts w:cs="Times New Roman"/>
      </w:rPr>
    </w:lvl>
    <w:lvl w:ilvl="2" w:tplc="902EB354" w:tentative="1">
      <w:start w:val="1"/>
      <w:numFmt w:val="lowerRoman"/>
      <w:lvlText w:val="%3."/>
      <w:lvlJc w:val="right"/>
      <w:pPr>
        <w:ind w:left="2160" w:hanging="180"/>
      </w:pPr>
      <w:rPr>
        <w:rFonts w:cs="Times New Roman"/>
      </w:rPr>
    </w:lvl>
    <w:lvl w:ilvl="3" w:tplc="51548DB8" w:tentative="1">
      <w:start w:val="1"/>
      <w:numFmt w:val="decimal"/>
      <w:lvlText w:val="%4."/>
      <w:lvlJc w:val="left"/>
      <w:pPr>
        <w:ind w:left="2880" w:hanging="360"/>
      </w:pPr>
      <w:rPr>
        <w:rFonts w:cs="Times New Roman"/>
      </w:rPr>
    </w:lvl>
    <w:lvl w:ilvl="4" w:tplc="69EAA09C" w:tentative="1">
      <w:start w:val="1"/>
      <w:numFmt w:val="lowerLetter"/>
      <w:lvlText w:val="%5."/>
      <w:lvlJc w:val="left"/>
      <w:pPr>
        <w:ind w:left="3600" w:hanging="360"/>
      </w:pPr>
      <w:rPr>
        <w:rFonts w:cs="Times New Roman"/>
      </w:rPr>
    </w:lvl>
    <w:lvl w:ilvl="5" w:tplc="1786B8CA" w:tentative="1">
      <w:start w:val="1"/>
      <w:numFmt w:val="lowerRoman"/>
      <w:lvlText w:val="%6."/>
      <w:lvlJc w:val="right"/>
      <w:pPr>
        <w:ind w:left="4320" w:hanging="180"/>
      </w:pPr>
      <w:rPr>
        <w:rFonts w:cs="Times New Roman"/>
      </w:rPr>
    </w:lvl>
    <w:lvl w:ilvl="6" w:tplc="CD028492" w:tentative="1">
      <w:start w:val="1"/>
      <w:numFmt w:val="decimal"/>
      <w:lvlText w:val="%7."/>
      <w:lvlJc w:val="left"/>
      <w:pPr>
        <w:ind w:left="5040" w:hanging="360"/>
      </w:pPr>
      <w:rPr>
        <w:rFonts w:cs="Times New Roman"/>
      </w:rPr>
    </w:lvl>
    <w:lvl w:ilvl="7" w:tplc="35B001FA" w:tentative="1">
      <w:start w:val="1"/>
      <w:numFmt w:val="lowerLetter"/>
      <w:lvlText w:val="%8."/>
      <w:lvlJc w:val="left"/>
      <w:pPr>
        <w:ind w:left="5760" w:hanging="360"/>
      </w:pPr>
      <w:rPr>
        <w:rFonts w:cs="Times New Roman"/>
      </w:rPr>
    </w:lvl>
    <w:lvl w:ilvl="8" w:tplc="3064C332" w:tentative="1">
      <w:start w:val="1"/>
      <w:numFmt w:val="lowerRoman"/>
      <w:lvlText w:val="%9."/>
      <w:lvlJc w:val="right"/>
      <w:pPr>
        <w:ind w:left="6480" w:hanging="180"/>
      </w:pPr>
      <w:rPr>
        <w:rFonts w:cs="Times New Roman"/>
      </w:rPr>
    </w:lvl>
  </w:abstractNum>
  <w:abstractNum w:abstractNumId="26" w15:restartNumberingAfterBreak="0">
    <w:nsid w:val="69187EAD"/>
    <w:multiLevelType w:val="hybridMultilevel"/>
    <w:tmpl w:val="A2A05C94"/>
    <w:lvl w:ilvl="0" w:tplc="33D28CC8">
      <w:start w:val="1"/>
      <w:numFmt w:val="decimal"/>
      <w:lvlText w:val="%1."/>
      <w:lvlJc w:val="left"/>
      <w:pPr>
        <w:ind w:left="720" w:hanging="360"/>
      </w:pPr>
      <w:rPr>
        <w:rFonts w:cs="Times New Roman" w:hint="default"/>
      </w:rPr>
    </w:lvl>
    <w:lvl w:ilvl="1" w:tplc="644AF686" w:tentative="1">
      <w:start w:val="1"/>
      <w:numFmt w:val="lowerLetter"/>
      <w:lvlText w:val="%2."/>
      <w:lvlJc w:val="left"/>
      <w:pPr>
        <w:ind w:left="1440" w:hanging="360"/>
      </w:pPr>
      <w:rPr>
        <w:rFonts w:cs="Times New Roman"/>
      </w:rPr>
    </w:lvl>
    <w:lvl w:ilvl="2" w:tplc="3B186F96" w:tentative="1">
      <w:start w:val="1"/>
      <w:numFmt w:val="lowerRoman"/>
      <w:lvlText w:val="%3."/>
      <w:lvlJc w:val="right"/>
      <w:pPr>
        <w:ind w:left="2160" w:hanging="180"/>
      </w:pPr>
      <w:rPr>
        <w:rFonts w:cs="Times New Roman"/>
      </w:rPr>
    </w:lvl>
    <w:lvl w:ilvl="3" w:tplc="4ACA7DCA" w:tentative="1">
      <w:start w:val="1"/>
      <w:numFmt w:val="decimal"/>
      <w:lvlText w:val="%4."/>
      <w:lvlJc w:val="left"/>
      <w:pPr>
        <w:ind w:left="2880" w:hanging="360"/>
      </w:pPr>
      <w:rPr>
        <w:rFonts w:cs="Times New Roman"/>
      </w:rPr>
    </w:lvl>
    <w:lvl w:ilvl="4" w:tplc="0C0ED02A" w:tentative="1">
      <w:start w:val="1"/>
      <w:numFmt w:val="lowerLetter"/>
      <w:lvlText w:val="%5."/>
      <w:lvlJc w:val="left"/>
      <w:pPr>
        <w:ind w:left="3600" w:hanging="360"/>
      </w:pPr>
      <w:rPr>
        <w:rFonts w:cs="Times New Roman"/>
      </w:rPr>
    </w:lvl>
    <w:lvl w:ilvl="5" w:tplc="5D482A9E" w:tentative="1">
      <w:start w:val="1"/>
      <w:numFmt w:val="lowerRoman"/>
      <w:lvlText w:val="%6."/>
      <w:lvlJc w:val="right"/>
      <w:pPr>
        <w:ind w:left="4320" w:hanging="180"/>
      </w:pPr>
      <w:rPr>
        <w:rFonts w:cs="Times New Roman"/>
      </w:rPr>
    </w:lvl>
    <w:lvl w:ilvl="6" w:tplc="3E721A3E" w:tentative="1">
      <w:start w:val="1"/>
      <w:numFmt w:val="decimal"/>
      <w:lvlText w:val="%7."/>
      <w:lvlJc w:val="left"/>
      <w:pPr>
        <w:ind w:left="5040" w:hanging="360"/>
      </w:pPr>
      <w:rPr>
        <w:rFonts w:cs="Times New Roman"/>
      </w:rPr>
    </w:lvl>
    <w:lvl w:ilvl="7" w:tplc="2C10E6F4" w:tentative="1">
      <w:start w:val="1"/>
      <w:numFmt w:val="lowerLetter"/>
      <w:lvlText w:val="%8."/>
      <w:lvlJc w:val="left"/>
      <w:pPr>
        <w:ind w:left="5760" w:hanging="360"/>
      </w:pPr>
      <w:rPr>
        <w:rFonts w:cs="Times New Roman"/>
      </w:rPr>
    </w:lvl>
    <w:lvl w:ilvl="8" w:tplc="9D0665E4" w:tentative="1">
      <w:start w:val="1"/>
      <w:numFmt w:val="lowerRoman"/>
      <w:lvlText w:val="%9."/>
      <w:lvlJc w:val="right"/>
      <w:pPr>
        <w:ind w:left="6480" w:hanging="180"/>
      </w:pPr>
      <w:rPr>
        <w:rFonts w:cs="Times New Roman"/>
      </w:rPr>
    </w:lvl>
  </w:abstractNum>
  <w:abstractNum w:abstractNumId="27" w15:restartNumberingAfterBreak="0">
    <w:nsid w:val="78AA753A"/>
    <w:multiLevelType w:val="hybridMultilevel"/>
    <w:tmpl w:val="5E323932"/>
    <w:lvl w:ilvl="0" w:tplc="C29C63A0">
      <w:numFmt w:val="bullet"/>
      <w:lvlText w:val="—"/>
      <w:lvlJc w:val="left"/>
      <w:pPr>
        <w:ind w:left="720" w:hanging="360"/>
      </w:pPr>
      <w:rPr>
        <w:rFonts w:ascii="Arial" w:eastAsia="Times New Roman" w:hAnsi="Arial" w:hint="default"/>
      </w:rPr>
    </w:lvl>
    <w:lvl w:ilvl="1" w:tplc="6D8E57EE" w:tentative="1">
      <w:start w:val="1"/>
      <w:numFmt w:val="bullet"/>
      <w:lvlText w:val="o"/>
      <w:lvlJc w:val="left"/>
      <w:pPr>
        <w:ind w:left="1440" w:hanging="360"/>
      </w:pPr>
      <w:rPr>
        <w:rFonts w:ascii="Courier New" w:hAnsi="Courier New" w:hint="default"/>
      </w:rPr>
    </w:lvl>
    <w:lvl w:ilvl="2" w:tplc="97342530" w:tentative="1">
      <w:start w:val="1"/>
      <w:numFmt w:val="bullet"/>
      <w:lvlText w:val=""/>
      <w:lvlJc w:val="left"/>
      <w:pPr>
        <w:ind w:left="2160" w:hanging="360"/>
      </w:pPr>
      <w:rPr>
        <w:rFonts w:ascii="Wingdings" w:hAnsi="Wingdings" w:hint="default"/>
      </w:rPr>
    </w:lvl>
    <w:lvl w:ilvl="3" w:tplc="13982BFE" w:tentative="1">
      <w:start w:val="1"/>
      <w:numFmt w:val="bullet"/>
      <w:lvlText w:val=""/>
      <w:lvlJc w:val="left"/>
      <w:pPr>
        <w:ind w:left="2880" w:hanging="360"/>
      </w:pPr>
      <w:rPr>
        <w:rFonts w:ascii="Symbol" w:hAnsi="Symbol" w:hint="default"/>
      </w:rPr>
    </w:lvl>
    <w:lvl w:ilvl="4" w:tplc="FE742C50" w:tentative="1">
      <w:start w:val="1"/>
      <w:numFmt w:val="bullet"/>
      <w:lvlText w:val="o"/>
      <w:lvlJc w:val="left"/>
      <w:pPr>
        <w:ind w:left="3600" w:hanging="360"/>
      </w:pPr>
      <w:rPr>
        <w:rFonts w:ascii="Courier New" w:hAnsi="Courier New" w:hint="default"/>
      </w:rPr>
    </w:lvl>
    <w:lvl w:ilvl="5" w:tplc="45265898" w:tentative="1">
      <w:start w:val="1"/>
      <w:numFmt w:val="bullet"/>
      <w:lvlText w:val=""/>
      <w:lvlJc w:val="left"/>
      <w:pPr>
        <w:ind w:left="4320" w:hanging="360"/>
      </w:pPr>
      <w:rPr>
        <w:rFonts w:ascii="Wingdings" w:hAnsi="Wingdings" w:hint="default"/>
      </w:rPr>
    </w:lvl>
    <w:lvl w:ilvl="6" w:tplc="42C28FB0" w:tentative="1">
      <w:start w:val="1"/>
      <w:numFmt w:val="bullet"/>
      <w:lvlText w:val=""/>
      <w:lvlJc w:val="left"/>
      <w:pPr>
        <w:ind w:left="5040" w:hanging="360"/>
      </w:pPr>
      <w:rPr>
        <w:rFonts w:ascii="Symbol" w:hAnsi="Symbol" w:hint="default"/>
      </w:rPr>
    </w:lvl>
    <w:lvl w:ilvl="7" w:tplc="DA8E0290" w:tentative="1">
      <w:start w:val="1"/>
      <w:numFmt w:val="bullet"/>
      <w:lvlText w:val="o"/>
      <w:lvlJc w:val="left"/>
      <w:pPr>
        <w:ind w:left="5760" w:hanging="360"/>
      </w:pPr>
      <w:rPr>
        <w:rFonts w:ascii="Courier New" w:hAnsi="Courier New" w:hint="default"/>
      </w:rPr>
    </w:lvl>
    <w:lvl w:ilvl="8" w:tplc="BB22BBF6" w:tentative="1">
      <w:start w:val="1"/>
      <w:numFmt w:val="bullet"/>
      <w:lvlText w:val=""/>
      <w:lvlJc w:val="left"/>
      <w:pPr>
        <w:ind w:left="6480" w:hanging="360"/>
      </w:pPr>
      <w:rPr>
        <w:rFonts w:ascii="Wingdings" w:hAnsi="Wingdings" w:hint="default"/>
      </w:rPr>
    </w:lvl>
  </w:abstractNum>
  <w:abstractNum w:abstractNumId="28" w15:restartNumberingAfterBreak="0">
    <w:nsid w:val="7A6C41D5"/>
    <w:multiLevelType w:val="hybridMultilevel"/>
    <w:tmpl w:val="7F56721E"/>
    <w:lvl w:ilvl="0" w:tplc="768EB2A8">
      <w:start w:val="1"/>
      <w:numFmt w:val="bullet"/>
      <w:lvlText w:val=""/>
      <w:lvlJc w:val="left"/>
      <w:pPr>
        <w:ind w:left="720" w:hanging="360"/>
      </w:pPr>
      <w:rPr>
        <w:rFonts w:ascii="Symbol" w:hAnsi="Symbol" w:hint="default"/>
      </w:rPr>
    </w:lvl>
    <w:lvl w:ilvl="1" w:tplc="4A62EA9C" w:tentative="1">
      <w:start w:val="1"/>
      <w:numFmt w:val="bullet"/>
      <w:lvlText w:val="o"/>
      <w:lvlJc w:val="left"/>
      <w:pPr>
        <w:ind w:left="1440" w:hanging="360"/>
      </w:pPr>
      <w:rPr>
        <w:rFonts w:ascii="Courier New" w:hAnsi="Courier New" w:cs="Courier New" w:hint="default"/>
      </w:rPr>
    </w:lvl>
    <w:lvl w:ilvl="2" w:tplc="174C2FBE" w:tentative="1">
      <w:start w:val="1"/>
      <w:numFmt w:val="bullet"/>
      <w:lvlText w:val=""/>
      <w:lvlJc w:val="left"/>
      <w:pPr>
        <w:ind w:left="2160" w:hanging="360"/>
      </w:pPr>
      <w:rPr>
        <w:rFonts w:ascii="Wingdings" w:hAnsi="Wingdings" w:hint="default"/>
      </w:rPr>
    </w:lvl>
    <w:lvl w:ilvl="3" w:tplc="1B8E718A" w:tentative="1">
      <w:start w:val="1"/>
      <w:numFmt w:val="bullet"/>
      <w:lvlText w:val=""/>
      <w:lvlJc w:val="left"/>
      <w:pPr>
        <w:ind w:left="2880" w:hanging="360"/>
      </w:pPr>
      <w:rPr>
        <w:rFonts w:ascii="Symbol" w:hAnsi="Symbol" w:hint="default"/>
      </w:rPr>
    </w:lvl>
    <w:lvl w:ilvl="4" w:tplc="5FBC2728" w:tentative="1">
      <w:start w:val="1"/>
      <w:numFmt w:val="bullet"/>
      <w:lvlText w:val="o"/>
      <w:lvlJc w:val="left"/>
      <w:pPr>
        <w:ind w:left="3600" w:hanging="360"/>
      </w:pPr>
      <w:rPr>
        <w:rFonts w:ascii="Courier New" w:hAnsi="Courier New" w:cs="Courier New" w:hint="default"/>
      </w:rPr>
    </w:lvl>
    <w:lvl w:ilvl="5" w:tplc="885A6712" w:tentative="1">
      <w:start w:val="1"/>
      <w:numFmt w:val="bullet"/>
      <w:lvlText w:val=""/>
      <w:lvlJc w:val="left"/>
      <w:pPr>
        <w:ind w:left="4320" w:hanging="360"/>
      </w:pPr>
      <w:rPr>
        <w:rFonts w:ascii="Wingdings" w:hAnsi="Wingdings" w:hint="default"/>
      </w:rPr>
    </w:lvl>
    <w:lvl w:ilvl="6" w:tplc="844E43FC" w:tentative="1">
      <w:start w:val="1"/>
      <w:numFmt w:val="bullet"/>
      <w:lvlText w:val=""/>
      <w:lvlJc w:val="left"/>
      <w:pPr>
        <w:ind w:left="5040" w:hanging="360"/>
      </w:pPr>
      <w:rPr>
        <w:rFonts w:ascii="Symbol" w:hAnsi="Symbol" w:hint="default"/>
      </w:rPr>
    </w:lvl>
    <w:lvl w:ilvl="7" w:tplc="6E763A82" w:tentative="1">
      <w:start w:val="1"/>
      <w:numFmt w:val="bullet"/>
      <w:lvlText w:val="o"/>
      <w:lvlJc w:val="left"/>
      <w:pPr>
        <w:ind w:left="5760" w:hanging="360"/>
      </w:pPr>
      <w:rPr>
        <w:rFonts w:ascii="Courier New" w:hAnsi="Courier New" w:cs="Courier New" w:hint="default"/>
      </w:rPr>
    </w:lvl>
    <w:lvl w:ilvl="8" w:tplc="1EA8780E" w:tentative="1">
      <w:start w:val="1"/>
      <w:numFmt w:val="bullet"/>
      <w:lvlText w:val=""/>
      <w:lvlJc w:val="left"/>
      <w:pPr>
        <w:ind w:left="6480" w:hanging="360"/>
      </w:pPr>
      <w:rPr>
        <w:rFonts w:ascii="Wingdings" w:hAnsi="Wingdings" w:hint="default"/>
      </w:rPr>
    </w:lvl>
  </w:abstractNum>
  <w:abstractNum w:abstractNumId="29" w15:restartNumberingAfterBreak="0">
    <w:nsid w:val="7D43574A"/>
    <w:multiLevelType w:val="hybridMultilevel"/>
    <w:tmpl w:val="EC3C6AD8"/>
    <w:lvl w:ilvl="0" w:tplc="0C00B208">
      <w:numFmt w:val="bullet"/>
      <w:lvlText w:val="-"/>
      <w:lvlJc w:val="left"/>
      <w:pPr>
        <w:tabs>
          <w:tab w:val="num" w:pos="720"/>
        </w:tabs>
        <w:ind w:left="720" w:hanging="360"/>
      </w:pPr>
      <w:rPr>
        <w:rFonts w:ascii="Arial" w:eastAsia="Times New Roman" w:hAnsi="Arial" w:hint="default"/>
      </w:rPr>
    </w:lvl>
    <w:lvl w:ilvl="1" w:tplc="67A48676" w:tentative="1">
      <w:start w:val="1"/>
      <w:numFmt w:val="bullet"/>
      <w:lvlText w:val="o"/>
      <w:lvlJc w:val="left"/>
      <w:pPr>
        <w:tabs>
          <w:tab w:val="num" w:pos="1440"/>
        </w:tabs>
        <w:ind w:left="1440" w:hanging="360"/>
      </w:pPr>
      <w:rPr>
        <w:rFonts w:ascii="Courier New" w:hAnsi="Courier New" w:hint="default"/>
      </w:rPr>
    </w:lvl>
    <w:lvl w:ilvl="2" w:tplc="EE52496C" w:tentative="1">
      <w:start w:val="1"/>
      <w:numFmt w:val="bullet"/>
      <w:lvlText w:val=""/>
      <w:lvlJc w:val="left"/>
      <w:pPr>
        <w:tabs>
          <w:tab w:val="num" w:pos="2160"/>
        </w:tabs>
        <w:ind w:left="2160" w:hanging="360"/>
      </w:pPr>
      <w:rPr>
        <w:rFonts w:ascii="Wingdings" w:hAnsi="Wingdings" w:hint="default"/>
      </w:rPr>
    </w:lvl>
    <w:lvl w:ilvl="3" w:tplc="1430C4D4" w:tentative="1">
      <w:start w:val="1"/>
      <w:numFmt w:val="bullet"/>
      <w:lvlText w:val=""/>
      <w:lvlJc w:val="left"/>
      <w:pPr>
        <w:tabs>
          <w:tab w:val="num" w:pos="2880"/>
        </w:tabs>
        <w:ind w:left="2880" w:hanging="360"/>
      </w:pPr>
      <w:rPr>
        <w:rFonts w:ascii="Symbol" w:hAnsi="Symbol" w:hint="default"/>
      </w:rPr>
    </w:lvl>
    <w:lvl w:ilvl="4" w:tplc="9984F696" w:tentative="1">
      <w:start w:val="1"/>
      <w:numFmt w:val="bullet"/>
      <w:lvlText w:val="o"/>
      <w:lvlJc w:val="left"/>
      <w:pPr>
        <w:tabs>
          <w:tab w:val="num" w:pos="3600"/>
        </w:tabs>
        <w:ind w:left="3600" w:hanging="360"/>
      </w:pPr>
      <w:rPr>
        <w:rFonts w:ascii="Courier New" w:hAnsi="Courier New" w:hint="default"/>
      </w:rPr>
    </w:lvl>
    <w:lvl w:ilvl="5" w:tplc="71D45A98" w:tentative="1">
      <w:start w:val="1"/>
      <w:numFmt w:val="bullet"/>
      <w:lvlText w:val=""/>
      <w:lvlJc w:val="left"/>
      <w:pPr>
        <w:tabs>
          <w:tab w:val="num" w:pos="4320"/>
        </w:tabs>
        <w:ind w:left="4320" w:hanging="360"/>
      </w:pPr>
      <w:rPr>
        <w:rFonts w:ascii="Wingdings" w:hAnsi="Wingdings" w:hint="default"/>
      </w:rPr>
    </w:lvl>
    <w:lvl w:ilvl="6" w:tplc="08B69F3C" w:tentative="1">
      <w:start w:val="1"/>
      <w:numFmt w:val="bullet"/>
      <w:lvlText w:val=""/>
      <w:lvlJc w:val="left"/>
      <w:pPr>
        <w:tabs>
          <w:tab w:val="num" w:pos="5040"/>
        </w:tabs>
        <w:ind w:left="5040" w:hanging="360"/>
      </w:pPr>
      <w:rPr>
        <w:rFonts w:ascii="Symbol" w:hAnsi="Symbol" w:hint="default"/>
      </w:rPr>
    </w:lvl>
    <w:lvl w:ilvl="7" w:tplc="6F7A1CBC" w:tentative="1">
      <w:start w:val="1"/>
      <w:numFmt w:val="bullet"/>
      <w:lvlText w:val="o"/>
      <w:lvlJc w:val="left"/>
      <w:pPr>
        <w:tabs>
          <w:tab w:val="num" w:pos="5760"/>
        </w:tabs>
        <w:ind w:left="5760" w:hanging="360"/>
      </w:pPr>
      <w:rPr>
        <w:rFonts w:ascii="Courier New" w:hAnsi="Courier New" w:hint="default"/>
      </w:rPr>
    </w:lvl>
    <w:lvl w:ilvl="8" w:tplc="CA607AF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18"/>
  </w:num>
  <w:num w:numId="4">
    <w:abstractNumId w:val="16"/>
  </w:num>
  <w:num w:numId="5">
    <w:abstractNumId w:val="26"/>
  </w:num>
  <w:num w:numId="6">
    <w:abstractNumId w:val="25"/>
  </w:num>
  <w:num w:numId="7">
    <w:abstractNumId w:val="14"/>
  </w:num>
  <w:num w:numId="8">
    <w:abstractNumId w:val="15"/>
  </w:num>
  <w:num w:numId="9">
    <w:abstractNumId w:val="0"/>
  </w:num>
  <w:num w:numId="10">
    <w:abstractNumId w:val="6"/>
  </w:num>
  <w:num w:numId="11">
    <w:abstractNumId w:val="10"/>
  </w:num>
  <w:num w:numId="12">
    <w:abstractNumId w:val="27"/>
  </w:num>
  <w:num w:numId="13">
    <w:abstractNumId w:val="2"/>
  </w:num>
  <w:num w:numId="14">
    <w:abstractNumId w:val="23"/>
  </w:num>
  <w:num w:numId="15">
    <w:abstractNumId w:val="7"/>
  </w:num>
  <w:num w:numId="16">
    <w:abstractNumId w:val="1"/>
  </w:num>
  <w:num w:numId="17">
    <w:abstractNumId w:val="12"/>
  </w:num>
  <w:num w:numId="18">
    <w:abstractNumId w:val="4"/>
  </w:num>
  <w:num w:numId="19">
    <w:abstractNumId w:val="21"/>
  </w:num>
  <w:num w:numId="20">
    <w:abstractNumId w:val="11"/>
  </w:num>
  <w:num w:numId="21">
    <w:abstractNumId w:val="20"/>
  </w:num>
  <w:num w:numId="22">
    <w:abstractNumId w:val="5"/>
  </w:num>
  <w:num w:numId="23">
    <w:abstractNumId w:val="8"/>
  </w:num>
  <w:num w:numId="24">
    <w:abstractNumId w:val="3"/>
  </w:num>
  <w:num w:numId="25">
    <w:abstractNumId w:val="17"/>
  </w:num>
  <w:num w:numId="26">
    <w:abstractNumId w:val="9"/>
  </w:num>
  <w:num w:numId="27">
    <w:abstractNumId w:val="13"/>
  </w:num>
  <w:num w:numId="28">
    <w:abstractNumId w:val="24"/>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F2"/>
    <w:rsid w:val="00094A97"/>
    <w:rsid w:val="00191893"/>
    <w:rsid w:val="001E589B"/>
    <w:rsid w:val="003A3CFD"/>
    <w:rsid w:val="0058317E"/>
    <w:rsid w:val="005F5EF1"/>
    <w:rsid w:val="006619F2"/>
    <w:rsid w:val="009A21CE"/>
    <w:rsid w:val="00A952CA"/>
    <w:rsid w:val="00AC39CD"/>
    <w:rsid w:val="00F51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1E699"/>
  <w15:docId w15:val="{5112ED37-A93D-41AB-B3B7-C6ABAA54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8C"/>
    <w:rPr>
      <w:rFonts w:ascii="Arial" w:hAnsi="Arial"/>
      <w:sz w:val="24"/>
    </w:rPr>
  </w:style>
  <w:style w:type="paragraph" w:styleId="Heading1">
    <w:name w:val="heading 1"/>
    <w:basedOn w:val="Normal"/>
    <w:next w:val="Normal"/>
    <w:link w:val="Heading1Char"/>
    <w:uiPriority w:val="9"/>
    <w:qFormat/>
    <w:rsid w:val="004B418C"/>
    <w:pPr>
      <w:keepNext/>
      <w:outlineLvl w:val="0"/>
    </w:pPr>
    <w:rPr>
      <w:b/>
    </w:rPr>
  </w:style>
  <w:style w:type="paragraph" w:styleId="Heading3">
    <w:name w:val="heading 3"/>
    <w:basedOn w:val="Normal"/>
    <w:next w:val="Normal"/>
    <w:link w:val="Heading3Char"/>
    <w:uiPriority w:val="9"/>
    <w:semiHidden/>
    <w:unhideWhenUsed/>
    <w:qFormat/>
    <w:rsid w:val="00735017"/>
    <w:pPr>
      <w:keepNext/>
      <w:keepLines/>
      <w:spacing w:before="200"/>
      <w:outlineLvl w:val="2"/>
    </w:pPr>
    <w:rPr>
      <w:rFonts w:asciiTheme="majorHAnsi" w:eastAsiaTheme="majorEastAsia" w:hAnsiTheme="majorHAnsi"/>
      <w:b/>
      <w:bCs/>
      <w:color w:val="4F81BD" w:themeColor="accent1"/>
    </w:rPr>
  </w:style>
  <w:style w:type="paragraph" w:styleId="Heading5">
    <w:name w:val="heading 5"/>
    <w:basedOn w:val="Normal"/>
    <w:next w:val="Normal"/>
    <w:link w:val="Heading5Char"/>
    <w:uiPriority w:val="9"/>
    <w:qFormat/>
    <w:rsid w:val="004B418C"/>
    <w:pPr>
      <w:keepNext/>
      <w:outlineLvl w:val="4"/>
    </w:pPr>
    <w:rPr>
      <w:rFonts w:ascii="Univers" w:hAnsi="Univers"/>
      <w:b/>
      <w:u w:val="single"/>
    </w:rPr>
  </w:style>
  <w:style w:type="paragraph" w:styleId="Heading6">
    <w:name w:val="heading 6"/>
    <w:basedOn w:val="Normal"/>
    <w:next w:val="Normal"/>
    <w:link w:val="Heading6Char"/>
    <w:uiPriority w:val="9"/>
    <w:qFormat/>
    <w:rsid w:val="004B418C"/>
    <w:pPr>
      <w:keepNext/>
      <w:outlineLvl w:val="5"/>
    </w:pPr>
    <w:rPr>
      <w:rFonts w:ascii="Univers" w:hAnsi="Univers"/>
      <w:b/>
    </w:rPr>
  </w:style>
  <w:style w:type="paragraph" w:styleId="Heading7">
    <w:name w:val="heading 7"/>
    <w:basedOn w:val="Normal"/>
    <w:next w:val="Normal"/>
    <w:link w:val="Heading7Char"/>
    <w:uiPriority w:val="9"/>
    <w:qFormat/>
    <w:rsid w:val="004B418C"/>
    <w:pPr>
      <w:keepNext/>
      <w:outlineLvl w:val="6"/>
    </w:pPr>
    <w:rPr>
      <w:rFonts w:ascii="Univers" w:hAnsi="Univers"/>
      <w:u w:val="single"/>
    </w:rPr>
  </w:style>
  <w:style w:type="paragraph" w:styleId="Heading8">
    <w:name w:val="heading 8"/>
    <w:basedOn w:val="Normal"/>
    <w:next w:val="Normal"/>
    <w:link w:val="Heading8Char"/>
    <w:uiPriority w:val="9"/>
    <w:semiHidden/>
    <w:unhideWhenUsed/>
    <w:qFormat/>
    <w:rsid w:val="00E362C7"/>
    <w:pPr>
      <w:keepNext/>
      <w:keepLines/>
      <w:spacing w:before="200"/>
      <w:outlineLvl w:val="7"/>
    </w:pPr>
    <w:rPr>
      <w:rFonts w:asciiTheme="majorHAnsi" w:eastAsiaTheme="majorEastAsia" w:hAnsiTheme="majorHAns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sid w:val="00735017"/>
    <w:rPr>
      <w:rFonts w:asciiTheme="majorHAnsi" w:eastAsiaTheme="majorEastAsia" w:hAnsiTheme="majorHAnsi" w:cs="Times New Roman"/>
      <w:b/>
      <w:bCs/>
      <w:color w:val="4F81BD" w:themeColor="accent1"/>
      <w:sz w:val="24"/>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sid w:val="00E362C7"/>
    <w:rPr>
      <w:rFonts w:asciiTheme="majorHAnsi" w:eastAsiaTheme="majorEastAsia" w:hAnsiTheme="majorHAnsi" w:cs="Times New Roman"/>
      <w:color w:val="404040" w:themeColor="text1" w:themeTint="BF"/>
    </w:rPr>
  </w:style>
  <w:style w:type="paragraph" w:styleId="Header">
    <w:name w:val="header"/>
    <w:basedOn w:val="Normal"/>
    <w:link w:val="HeaderChar"/>
    <w:uiPriority w:val="99"/>
    <w:rsid w:val="004B418C"/>
  </w:style>
  <w:style w:type="character" w:customStyle="1" w:styleId="HeaderChar">
    <w:name w:val="Header Char"/>
    <w:basedOn w:val="DefaultParagraphFont"/>
    <w:link w:val="Header"/>
    <w:uiPriority w:val="99"/>
    <w:semiHidden/>
    <w:locked/>
    <w:rPr>
      <w:rFonts w:ascii="Arial" w:hAnsi="Arial" w:cs="Times New Roman"/>
      <w:sz w:val="24"/>
    </w:rPr>
  </w:style>
  <w:style w:type="paragraph" w:customStyle="1" w:styleId="arial11">
    <w:name w:val="arial11"/>
    <w:basedOn w:val="Normal"/>
    <w:rsid w:val="004B418C"/>
  </w:style>
  <w:style w:type="paragraph" w:styleId="BodyText">
    <w:name w:val="Body Text"/>
    <w:basedOn w:val="Normal"/>
    <w:link w:val="BodyTextChar"/>
    <w:uiPriority w:val="99"/>
    <w:rsid w:val="004B418C"/>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Footer">
    <w:name w:val="footer"/>
    <w:basedOn w:val="Normal"/>
    <w:link w:val="FooterChar"/>
    <w:uiPriority w:val="99"/>
    <w:rsid w:val="004B418C"/>
    <w:pPr>
      <w:tabs>
        <w:tab w:val="center" w:pos="4153"/>
        <w:tab w:val="right" w:pos="8306"/>
      </w:tabs>
    </w:pPr>
  </w:style>
  <w:style w:type="character" w:customStyle="1" w:styleId="FooterChar">
    <w:name w:val="Footer Char"/>
    <w:basedOn w:val="DefaultParagraphFont"/>
    <w:link w:val="Footer"/>
    <w:uiPriority w:val="99"/>
    <w:locked/>
    <w:rsid w:val="00E362C7"/>
    <w:rPr>
      <w:rFonts w:ascii="Arial" w:hAnsi="Arial" w:cs="Times New Roman"/>
      <w:sz w:val="24"/>
    </w:rPr>
  </w:style>
  <w:style w:type="character" w:styleId="PageNumber">
    <w:name w:val="page number"/>
    <w:basedOn w:val="DefaultParagraphFont"/>
    <w:uiPriority w:val="99"/>
    <w:rsid w:val="004B418C"/>
    <w:rPr>
      <w:rFonts w:cs="Times New Roman"/>
    </w:rPr>
  </w:style>
  <w:style w:type="paragraph" w:styleId="BalloonText">
    <w:name w:val="Balloon Text"/>
    <w:basedOn w:val="Normal"/>
    <w:link w:val="BalloonTextChar"/>
    <w:uiPriority w:val="99"/>
    <w:semiHidden/>
    <w:rsid w:val="003579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Paragraph">
    <w:name w:val="List Paragraph"/>
    <w:basedOn w:val="Normal"/>
    <w:uiPriority w:val="34"/>
    <w:qFormat/>
    <w:rsid w:val="006A2DEC"/>
    <w:pPr>
      <w:ind w:left="720"/>
      <w:contextualSpacing/>
    </w:pPr>
  </w:style>
  <w:style w:type="character" w:styleId="Strong">
    <w:name w:val="Strong"/>
    <w:basedOn w:val="DefaultParagraphFont"/>
    <w:uiPriority w:val="22"/>
    <w:qFormat/>
    <w:rsid w:val="00827743"/>
    <w:rPr>
      <w:rFonts w:cs="Times New Roman"/>
      <w:b/>
      <w:bCs/>
    </w:rPr>
  </w:style>
  <w:style w:type="paragraph" w:customStyle="1" w:styleId="00-Normal-BB">
    <w:name w:val="00-Normal-BB"/>
    <w:rsid w:val="00827743"/>
    <w:pPr>
      <w:jc w:val="both"/>
    </w:pPr>
    <w:rPr>
      <w:rFonts w:ascii="Arial" w:hAnsi="Arial"/>
      <w:sz w:val="22"/>
      <w:lang w:eastAsia="en-US"/>
    </w:rPr>
  </w:style>
  <w:style w:type="paragraph" w:customStyle="1" w:styleId="01-NormInd1-BB">
    <w:name w:val="01-NormInd1-BB"/>
    <w:basedOn w:val="00-Normal-BB"/>
    <w:rsid w:val="00827743"/>
    <w:pPr>
      <w:ind w:left="720"/>
    </w:pPr>
  </w:style>
  <w:style w:type="character" w:styleId="CommentReference">
    <w:name w:val="annotation reference"/>
    <w:basedOn w:val="DefaultParagraphFont"/>
    <w:uiPriority w:val="99"/>
    <w:semiHidden/>
    <w:unhideWhenUsed/>
    <w:rsid w:val="00FB3510"/>
    <w:rPr>
      <w:rFonts w:cs="Times New Roman"/>
      <w:sz w:val="16"/>
      <w:szCs w:val="16"/>
    </w:rPr>
  </w:style>
  <w:style w:type="paragraph" w:styleId="CommentText">
    <w:name w:val="annotation text"/>
    <w:basedOn w:val="Normal"/>
    <w:link w:val="CommentTextChar"/>
    <w:uiPriority w:val="99"/>
    <w:semiHidden/>
    <w:unhideWhenUsed/>
    <w:rsid w:val="00FB3510"/>
    <w:rPr>
      <w:sz w:val="20"/>
    </w:rPr>
  </w:style>
  <w:style w:type="character" w:customStyle="1" w:styleId="CommentTextChar">
    <w:name w:val="Comment Text Char"/>
    <w:basedOn w:val="DefaultParagraphFont"/>
    <w:link w:val="CommentText"/>
    <w:uiPriority w:val="99"/>
    <w:semiHidden/>
    <w:locked/>
    <w:rsid w:val="00FB3510"/>
    <w:rPr>
      <w:rFonts w:ascii="Arial" w:hAnsi="Arial" w:cs="Times New Roman"/>
    </w:rPr>
  </w:style>
  <w:style w:type="paragraph" w:styleId="CommentSubject">
    <w:name w:val="annotation subject"/>
    <w:basedOn w:val="CommentText"/>
    <w:next w:val="CommentText"/>
    <w:link w:val="CommentSubjectChar"/>
    <w:uiPriority w:val="99"/>
    <w:semiHidden/>
    <w:unhideWhenUsed/>
    <w:rsid w:val="00FB3510"/>
    <w:rPr>
      <w:b/>
      <w:bCs/>
    </w:rPr>
  </w:style>
  <w:style w:type="character" w:customStyle="1" w:styleId="CommentSubjectChar">
    <w:name w:val="Comment Subject Char"/>
    <w:basedOn w:val="CommentTextChar"/>
    <w:link w:val="CommentSubject"/>
    <w:uiPriority w:val="99"/>
    <w:semiHidden/>
    <w:locked/>
    <w:rsid w:val="00FB3510"/>
    <w:rPr>
      <w:rFonts w:ascii="Arial" w:hAnsi="Arial" w:cs="Times New Roman"/>
      <w:b/>
      <w:bCs/>
    </w:rPr>
  </w:style>
  <w:style w:type="table" w:styleId="TableGrid">
    <w:name w:val="Table Grid"/>
    <w:basedOn w:val="TableNormal"/>
    <w:uiPriority w:val="59"/>
    <w:rsid w:val="00F13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15C08"/>
    <w:pPr>
      <w:widowControl w:val="0"/>
      <w:suppressAutoHyphens/>
    </w:pPr>
    <w:rPr>
      <w:rFonts w:ascii="Times New Roman" w:hAnsi="Times New Roman"/>
      <w:kern w:val="1"/>
      <w:sz w:val="20"/>
    </w:rPr>
  </w:style>
  <w:style w:type="character" w:customStyle="1" w:styleId="FootnoteTextChar">
    <w:name w:val="Footnote Text Char"/>
    <w:basedOn w:val="DefaultParagraphFont"/>
    <w:link w:val="FootnoteText"/>
    <w:uiPriority w:val="99"/>
    <w:semiHidden/>
    <w:locked/>
    <w:rsid w:val="00815C08"/>
    <w:rPr>
      <w:rFonts w:eastAsia="Times New Roman" w:cs="Times New Roman"/>
      <w:kern w:val="1"/>
    </w:rPr>
  </w:style>
  <w:style w:type="character" w:styleId="FootnoteReference">
    <w:name w:val="footnote reference"/>
    <w:basedOn w:val="DefaultParagraphFont"/>
    <w:uiPriority w:val="99"/>
    <w:semiHidden/>
    <w:rsid w:val="00815C08"/>
    <w:rPr>
      <w:rFonts w:cs="Times New Roman"/>
      <w:vertAlign w:val="superscript"/>
    </w:rPr>
  </w:style>
  <w:style w:type="character" w:styleId="Hyperlink">
    <w:name w:val="Hyperlink"/>
    <w:basedOn w:val="DefaultParagraphFont"/>
    <w:uiPriority w:val="99"/>
    <w:rsid w:val="00815C08"/>
    <w:rPr>
      <w:rFonts w:cs="Times New Roman"/>
      <w:color w:val="0000FF"/>
      <w:u w:val="single"/>
    </w:rPr>
  </w:style>
  <w:style w:type="paragraph" w:styleId="Revision">
    <w:name w:val="Revision"/>
    <w:hidden/>
    <w:uiPriority w:val="99"/>
    <w:semiHidden/>
    <w:rsid w:val="0045359E"/>
    <w:rPr>
      <w:rFonts w:ascii="Arial" w:hAnsi="Arial"/>
      <w:sz w:val="24"/>
    </w:rPr>
  </w:style>
  <w:style w:type="table" w:customStyle="1" w:styleId="TableGrid1">
    <w:name w:val="Table Grid1"/>
    <w:basedOn w:val="TableNormal"/>
    <w:next w:val="TableGrid"/>
    <w:uiPriority w:val="59"/>
    <w:rsid w:val="002B6620"/>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3F2"/>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ad.lancscc.net\res\County%20Treasurer\Accounting%20and%20Taxation\Accounting\LCC\Accounts\2019-20\Treasury\Year%20End%20Closure\A&amp;G%20Report%20&amp;%20WPs\Debt%20W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GB" sz="1200" b="1" i="0" u="none" strike="noStrike" baseline="0">
                <a:solidFill>
                  <a:srgbClr val="000000"/>
                </a:solidFill>
                <a:latin typeface="Calibri"/>
              </a:rPr>
              <a:t>DEBT BY MATURITY (£m)</a:t>
            </a:r>
          </a:p>
          <a:p>
            <a:pPr>
              <a:defRPr sz="1000" b="0" i="0" u="none" strike="noStrike" baseline="0">
                <a:solidFill>
                  <a:srgbClr val="000000"/>
                </a:solidFill>
                <a:latin typeface="Calibri"/>
                <a:ea typeface="Calibri"/>
                <a:cs typeface="Calibri"/>
              </a:defRPr>
            </a:pPr>
            <a:r>
              <a:rPr lang="en-GB" sz="1200" b="1" i="0" u="none" strike="noStrike" baseline="0">
                <a:solidFill>
                  <a:srgbClr val="000000"/>
                </a:solidFill>
                <a:latin typeface="Calibri"/>
              </a:rPr>
              <a:t>AS AT 31/03/20</a:t>
            </a:r>
          </a:p>
        </c:rich>
      </c:tx>
      <c:layout/>
      <c:overlay val="0"/>
    </c:title>
    <c:autoTitleDeleted val="0"/>
    <c:plotArea>
      <c:layout>
        <c:manualLayout>
          <c:layoutTarget val="inner"/>
          <c:xMode val="edge"/>
          <c:yMode val="edge"/>
          <c:x val="0.1170171375636869"/>
          <c:y val="0.16495011693020661"/>
          <c:w val="0.85248177311169437"/>
          <c:h val="0.59483962324872874"/>
        </c:manualLayout>
      </c:layout>
      <c:barChart>
        <c:barDir val="col"/>
        <c:grouping val="clustered"/>
        <c:varyColors val="0"/>
        <c:ser>
          <c:idx val="0"/>
          <c:order val="0"/>
          <c:invertIfNegative val="0"/>
          <c:cat>
            <c:strRef>
              <c:f>'Debt Maturity &amp; Type'!$I$45:$I$51</c:f>
              <c:strCache>
                <c:ptCount val="6"/>
                <c:pt idx="0">
                  <c:v>&lt; 12 mths</c:v>
                </c:pt>
                <c:pt idx="1">
                  <c:v>12 mths - 2yrs</c:v>
                </c:pt>
                <c:pt idx="2">
                  <c:v>2yrs - 5yrs</c:v>
                </c:pt>
                <c:pt idx="3">
                  <c:v>5yrs - 10yrs</c:v>
                </c:pt>
                <c:pt idx="4">
                  <c:v>10yrs - 15yrs</c:v>
                </c:pt>
                <c:pt idx="5">
                  <c:v>15yrs &gt;</c:v>
                </c:pt>
              </c:strCache>
            </c:strRef>
          </c:cat>
          <c:val>
            <c:numRef>
              <c:f>'Debt Maturity &amp; Type'!$J$45:$J$51</c:f>
              <c:numCache>
                <c:formatCode>_-* #,##0_-;\-* #,##0_-;_-* "-"??_-;_-@_-</c:formatCode>
                <c:ptCount val="7"/>
                <c:pt idx="0">
                  <c:v>700800639.40999997</c:v>
                </c:pt>
                <c:pt idx="1">
                  <c:v>195000000</c:v>
                </c:pt>
                <c:pt idx="2">
                  <c:v>385000000</c:v>
                </c:pt>
                <c:pt idx="3">
                  <c:v>49600000</c:v>
                </c:pt>
                <c:pt idx="4">
                  <c:v>55000000</c:v>
                </c:pt>
                <c:pt idx="5">
                  <c:v>160000000</c:v>
                </c:pt>
              </c:numCache>
            </c:numRef>
          </c:val>
          <c:extLst>
            <c:ext xmlns:c16="http://schemas.microsoft.com/office/drawing/2014/chart" uri="{C3380CC4-5D6E-409C-BE32-E72D297353CC}">
              <c16:uniqueId val="{00000000-29BF-478E-8185-0C8F98C05991}"/>
            </c:ext>
          </c:extLst>
        </c:ser>
        <c:dLbls>
          <c:showLegendKey val="0"/>
          <c:showVal val="0"/>
          <c:showCatName val="0"/>
          <c:showSerName val="0"/>
          <c:showPercent val="0"/>
          <c:showBubbleSize val="0"/>
        </c:dLbls>
        <c:gapWidth val="150"/>
        <c:axId val="389690280"/>
        <c:axId val="389689888"/>
      </c:barChart>
      <c:catAx>
        <c:axId val="389690280"/>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389689888"/>
        <c:crosses val="autoZero"/>
        <c:auto val="1"/>
        <c:lblAlgn val="ctr"/>
        <c:lblOffset val="100"/>
        <c:noMultiLvlLbl val="0"/>
      </c:catAx>
      <c:valAx>
        <c:axId val="389689888"/>
        <c:scaling>
          <c:orientation val="minMax"/>
        </c:scaling>
        <c:delete val="0"/>
        <c:axPos val="l"/>
        <c:majorGridlines/>
        <c:numFmt formatCode="_-* #,##0_-;\-* #,##0_-;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89690280"/>
        <c:crosses val="autoZero"/>
        <c:crossBetween val="between"/>
        <c:dispUnits>
          <c:builtInUnit val="millions"/>
          <c:dispUnitsLbl>
            <c:layout/>
            <c:txPr>
              <a:bodyPr rot="-5400000" vert="horz"/>
              <a:lstStyle/>
              <a:p>
                <a:pPr algn="ctr">
                  <a:defRPr sz="1000" b="1" i="0" u="none" strike="noStrike" baseline="0">
                    <a:solidFill>
                      <a:srgbClr val="000000"/>
                    </a:solidFill>
                    <a:latin typeface="Calibri"/>
                    <a:ea typeface="Calibri"/>
                    <a:cs typeface="Calibri"/>
                  </a:defRPr>
                </a:pPr>
                <a:endParaRPr lang="en-US"/>
              </a:p>
            </c:txPr>
          </c:dispUnitsLbl>
        </c:dispUnits>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6241-0E95-4B54-B45A-B83EB574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244</TotalTime>
  <Pages>8</Pages>
  <Words>2599</Words>
  <Characters>13990</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Crotty, Paul</dc:creator>
  <dc:description>August 2009</dc:description>
  <cp:lastModifiedBy>Jones, Debra</cp:lastModifiedBy>
  <cp:revision>11</cp:revision>
  <cp:lastPrinted>2016-06-22T09:18:00Z</cp:lastPrinted>
  <dcterms:created xsi:type="dcterms:W3CDTF">2020-09-23T06:29:00Z</dcterms:created>
  <dcterms:modified xsi:type="dcterms:W3CDTF">2020-10-06T11:11:00Z</dcterms:modified>
</cp:coreProperties>
</file>